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0C2BC1" w:rsidRDefault="00917037" w:rsidP="00801572">
            <w:pPr>
              <w:spacing w:line="360" w:lineRule="auto"/>
              <w:ind w:left="360"/>
              <w:rPr>
                <w:rFonts w:ascii="Tahoma" w:hAnsi="Tahoma" w:cs="Tahoma"/>
                <w:sz w:val="20"/>
                <w:szCs w:val="20"/>
                <w:u w:val="single"/>
              </w:rPr>
            </w:pPr>
            <w:r w:rsidRPr="000C2BC1">
              <w:rPr>
                <w:rFonts w:ascii="Tahoma" w:hAnsi="Tahoma" w:cs="Tahoma"/>
                <w:sz w:val="20"/>
                <w:szCs w:val="20"/>
                <w:u w:val="single"/>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77740" w:rsidRDefault="00917037" w:rsidP="00801572">
            <w:pPr>
              <w:spacing w:line="360" w:lineRule="auto"/>
              <w:ind w:firstLine="360"/>
              <w:rPr>
                <w:rFonts w:ascii="Tahoma" w:hAnsi="Tahoma" w:cs="Tahoma"/>
                <w:sz w:val="20"/>
                <w:szCs w:val="20"/>
              </w:rPr>
            </w:pPr>
            <w:r w:rsidRPr="00A77740">
              <w:rPr>
                <w:rFonts w:ascii="Tahoma" w:hAnsi="Tahoma" w:cs="Tahoma"/>
                <w:sz w:val="20"/>
                <w:szCs w:val="20"/>
              </w:rPr>
              <w:t>D. 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Table 2. Categories of Traffic Safety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 xml:space="preserve">ii. </w:t>
            </w:r>
            <w:r w:rsidRPr="00425C86">
              <w:rPr>
                <w:rFonts w:ascii="Tahoma" w:hAnsi="Tahoma" w:cs="Tahoma"/>
                <w:sz w:val="20"/>
                <w:szCs w:val="20"/>
                <w:u w:val="single"/>
              </w:rPr>
              <w:t>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496832" w:rsidRDefault="00917037" w:rsidP="00801572">
            <w:pPr>
              <w:spacing w:line="360" w:lineRule="auto"/>
              <w:ind w:firstLine="360"/>
              <w:rPr>
                <w:rFonts w:ascii="Tahoma" w:hAnsi="Tahoma" w:cs="Tahoma"/>
                <w:sz w:val="20"/>
                <w:szCs w:val="20"/>
              </w:rPr>
            </w:pPr>
            <w:r w:rsidRPr="00496832">
              <w:rPr>
                <w:rFonts w:ascii="Tahoma" w:hAnsi="Tahoma" w:cs="Tahoma"/>
                <w:sz w:val="20"/>
                <w:szCs w:val="20"/>
              </w:rPr>
              <w:t xml:space="preserve">  v. 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trPr>
          <w:jc w:val="center"/>
        </w:trPr>
        <w:tc>
          <w:tcPr>
            <w:tcW w:w="8122" w:type="dxa"/>
          </w:tcPr>
          <w:p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rsidR="000D199E" w:rsidRDefault="000D199E" w:rsidP="00801572">
            <w:pPr>
              <w:spacing w:line="360" w:lineRule="auto"/>
              <w:jc w:val="center"/>
              <w:rPr>
                <w:rFonts w:ascii="Tahoma" w:hAnsi="Tahoma" w:cs="Tahoma"/>
                <w:sz w:val="20"/>
                <w:szCs w:val="20"/>
              </w:rPr>
            </w:pPr>
            <w:r>
              <w:rPr>
                <w:rFonts w:ascii="Tahoma" w:hAnsi="Tahoma" w:cs="Tahoma"/>
                <w:sz w:val="20"/>
                <w:szCs w:val="20"/>
              </w:rPr>
              <w:t>2-1</w:t>
            </w:r>
            <w:r w:rsidR="00D97B31">
              <w:rPr>
                <w:rFonts w:ascii="Tahoma" w:hAnsi="Tahoma" w:cs="Tahoma"/>
                <w:sz w:val="20"/>
                <w:szCs w:val="20"/>
              </w:rPr>
              <w:t>4</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G. </w:t>
            </w:r>
            <w:r w:rsidRPr="00425C86">
              <w:rPr>
                <w:rFonts w:ascii="Tahoma" w:hAnsi="Tahoma" w:cs="Tahoma"/>
                <w:sz w:val="20"/>
                <w:szCs w:val="20"/>
                <w:u w:val="single"/>
              </w:rPr>
              <w:t>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trPr>
          <w:jc w:val="center"/>
        </w:trPr>
        <w:tc>
          <w:tcPr>
            <w:tcW w:w="8122" w:type="dxa"/>
          </w:tcPr>
          <w:p w:rsidR="00917037" w:rsidRPr="00C66404" w:rsidRDefault="00917037" w:rsidP="00801572">
            <w:pPr>
              <w:spacing w:line="360" w:lineRule="auto"/>
              <w:ind w:left="540"/>
              <w:rPr>
                <w:rFonts w:ascii="Tahoma" w:hAnsi="Tahoma" w:cs="Tahoma"/>
                <w:sz w:val="20"/>
                <w:szCs w:val="20"/>
              </w:rPr>
            </w:pPr>
            <w:proofErr w:type="spellStart"/>
            <w:r w:rsidRPr="00C66404">
              <w:rPr>
                <w:rFonts w:ascii="Tahoma" w:hAnsi="Tahoma" w:cs="Tahoma"/>
                <w:sz w:val="20"/>
                <w:szCs w:val="20"/>
              </w:rPr>
              <w:t>i</w:t>
            </w:r>
            <w:proofErr w:type="spellEnd"/>
            <w:r w:rsidRPr="00C66404">
              <w:rPr>
                <w:rFonts w:ascii="Tahoma" w:hAnsi="Tahoma" w:cs="Tahoma"/>
                <w:sz w:val="20"/>
                <w:szCs w:val="20"/>
              </w:rPr>
              <w:t xml:space="preserve">. </w:t>
            </w:r>
            <w:r w:rsidRPr="000C2BC1">
              <w:rPr>
                <w:rFonts w:ascii="Tahoma" w:hAnsi="Tahoma" w:cs="Tahoma"/>
                <w:sz w:val="20"/>
                <w:szCs w:val="20"/>
                <w:u w:val="single"/>
              </w:rPr>
              <w:t>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A77740">
              <w:rPr>
                <w:rFonts w:ascii="Tahoma" w:hAnsi="Tahoma" w:cs="Tahoma"/>
                <w:sz w:val="20"/>
                <w:szCs w:val="20"/>
              </w:rPr>
              <w:t>Eligible Uses of Section 405 Funds</w:t>
            </w:r>
            <w:r w:rsidR="002F03E0" w:rsidRPr="00A77740">
              <w:rPr>
                <w:rFonts w:ascii="Tahoma" w:hAnsi="Tahoma" w:cs="Tahoma"/>
                <w:sz w:val="20"/>
                <w:szCs w:val="20"/>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66799B">
              <w:rPr>
                <w:rFonts w:ascii="Tahoma" w:hAnsi="Tahoma" w:cs="Tahoma"/>
                <w:sz w:val="20"/>
                <w:szCs w:val="20"/>
              </w:rPr>
              <w:t>8</w:t>
            </w:r>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w:t>
            </w:r>
            <w:r w:rsidR="00D97B31">
              <w:rPr>
                <w:rFonts w:ascii="Tahoma" w:hAnsi="Tahoma" w:cs="Tahoma"/>
                <w:sz w:val="20"/>
                <w:szCs w:val="20"/>
              </w:rPr>
              <w:t>1</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rsidTr="00C96458">
        <w:trPr>
          <w:trHeight w:val="405"/>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trPr>
          <w:jc w:val="center"/>
        </w:trPr>
        <w:tc>
          <w:tcPr>
            <w:tcW w:w="8122" w:type="dxa"/>
          </w:tcPr>
          <w:p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proofErr w:type="spellStart"/>
            <w:r w:rsidRPr="00AF6C8F">
              <w:rPr>
                <w:rFonts w:ascii="Tahoma" w:hAnsi="Tahoma" w:cs="Tahoma"/>
                <w:sz w:val="20"/>
                <w:szCs w:val="20"/>
              </w:rPr>
              <w:t>i</w:t>
            </w:r>
            <w:proofErr w:type="spellEnd"/>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w:t>
            </w:r>
            <w:r w:rsidRPr="00A77740">
              <w:rPr>
                <w:rFonts w:ascii="Tahoma" w:hAnsi="Tahoma" w:cs="Tahoma"/>
                <w:sz w:val="20"/>
                <w:szCs w:val="20"/>
              </w:rPr>
              <w:t>Benefit to Locals</w:t>
            </w:r>
            <w:r w:rsidRPr="00AF6C8F">
              <w:rPr>
                <w:rFonts w:ascii="Tahoma" w:hAnsi="Tahoma" w:cs="Tahoma"/>
                <w:sz w:val="20"/>
                <w:szCs w:val="20"/>
              </w:rPr>
              <w:t xml:space="preserve">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30</w:t>
            </w:r>
          </w:p>
        </w:tc>
      </w:tr>
      <w:tr w:rsidR="00917037" w:rsidRPr="004E05BB">
        <w:trPr>
          <w:jc w:val="center"/>
        </w:trPr>
        <w:tc>
          <w:tcPr>
            <w:tcW w:w="8122" w:type="dxa"/>
          </w:tcPr>
          <w:p w:rsidR="00917037" w:rsidRPr="00C66404" w:rsidRDefault="00917037" w:rsidP="00801572">
            <w:pPr>
              <w:spacing w:line="360" w:lineRule="auto"/>
              <w:ind w:firstLine="360"/>
              <w:rPr>
                <w:rFonts w:ascii="Tahoma" w:hAnsi="Tahoma" w:cs="Tahoma"/>
                <w:sz w:val="20"/>
                <w:szCs w:val="20"/>
              </w:rPr>
            </w:pPr>
            <w:r w:rsidRPr="00C66404">
              <w:rPr>
                <w:rFonts w:ascii="Tahoma" w:hAnsi="Tahoma" w:cs="Tahoma"/>
                <w:sz w:val="20"/>
                <w:szCs w:val="20"/>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4</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5</w:t>
            </w:r>
          </w:p>
          <w:p w:rsidR="0057024F" w:rsidRPr="004E05BB"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0C2BC1">
        <w:rPr>
          <w:u w:val="single"/>
        </w:rPr>
        <w:t xml:space="preserve">However, the FY2021 HSP deadline was extended to August 1 due to the national emergency.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lastRenderedPageBreak/>
        <w:t>Traffic records</w:t>
      </w:r>
    </w:p>
    <w:p w:rsidR="00917037" w:rsidRDefault="00F5744F">
      <w:pPr>
        <w:pStyle w:val="RegBody"/>
        <w:numPr>
          <w:ilvl w:val="0"/>
          <w:numId w:val="12"/>
        </w:numPr>
        <w:spacing w:before="0" w:after="0"/>
        <w:rPr>
          <w:rFonts w:cs="Times New Roman"/>
        </w:rPr>
      </w:pPr>
      <w:r>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0C2BC1" w:rsidRPr="000C2BC1" w:rsidRDefault="000C2BC1" w:rsidP="000C2BC1">
      <w:pPr>
        <w:pStyle w:val="RegBody"/>
        <w:rPr>
          <w:b/>
          <w:bCs/>
        </w:rPr>
      </w:pPr>
      <w:r>
        <w:rPr>
          <w:b/>
          <w:bCs/>
        </w:rPr>
        <w:t xml:space="preserve">NOTE: </w:t>
      </w:r>
      <w:r w:rsidRPr="000C2BC1">
        <w:rPr>
          <w:b/>
          <w:bCs/>
        </w:rPr>
        <w:t>On April 2, 2020, NHTSA issued an FAQ, “Impacts of National Emergency” and on April 9, 2020, a “Notice Announcing Waiver and Postponement of Certain Requirements”. Those documents should be separately consulted by the SHSO for temporary changes to the highway safety grant programs. States should contact their Regional Office for assistance on specific issues.</w:t>
      </w:r>
    </w:p>
    <w:p w:rsidR="000C2BC1" w:rsidRPr="00A16A3A" w:rsidRDefault="000C2BC1">
      <w:pPr>
        <w:pStyle w:val="RegBody"/>
      </w:pP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proofErr w:type="spellStart"/>
      <w:r w:rsidRPr="001E6E11">
        <w:rPr>
          <w:b/>
          <w:bCs/>
        </w:rPr>
        <w:t>i</w:t>
      </w:r>
      <w:proofErr w:type="spellEnd"/>
      <w:r w:rsidRPr="001E6E11">
        <w:rPr>
          <w:b/>
          <w:bCs/>
        </w:rPr>
        <w:t>.</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sidRPr="000C2BC1">
        <w:t>July 1</w:t>
      </w:r>
      <w:r w:rsidR="00917037">
        <w:t xml:space="preserve"> </w:t>
      </w:r>
      <w:r w:rsidR="000C2BC1">
        <w:t>(</w:t>
      </w:r>
      <w:r w:rsidR="000C2BC1" w:rsidRPr="000C2BC1">
        <w:rPr>
          <w:u w:val="single"/>
        </w:rPr>
        <w:t>for FY21 the deadline is August 1)</w:t>
      </w:r>
      <w:r w:rsidR="000C2BC1">
        <w:t xml:space="preserve"> </w:t>
      </w:r>
      <w:r w:rsidR="00917037">
        <w:t xml:space="preserve">preceding the fiscal year to which the HSP applies. The deadline is </w:t>
      </w:r>
      <w:r w:rsidR="00917037" w:rsidRPr="000C2BC1">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w:t>
      </w:r>
      <w:r w:rsidR="00917037" w:rsidRPr="00667ADD">
        <w:lastRenderedPageBreak/>
        <w:t xml:space="preserve">State’s plan is not approved, NHTSA 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Pr="00A77740" w:rsidRDefault="00041B84" w:rsidP="00041B84">
      <w:pPr>
        <w:pStyle w:val="RegBody"/>
        <w:pBdr>
          <w:top w:val="single" w:sz="4" w:space="1" w:color="auto"/>
          <w:left w:val="single" w:sz="4" w:space="4" w:color="auto"/>
          <w:bottom w:val="single" w:sz="4" w:space="1" w:color="auto"/>
          <w:right w:val="single" w:sz="4" w:space="4" w:color="auto"/>
        </w:pBdr>
        <w:rPr>
          <w:b/>
        </w:rPr>
      </w:pPr>
      <w:r w:rsidRPr="00A77740">
        <w:rPr>
          <w:b/>
        </w:rPr>
        <w:t xml:space="preserve">DISCLAIMER: The GHSA HSP Guidance has </w:t>
      </w:r>
      <w:r w:rsidR="00B944D1" w:rsidRPr="00A77740">
        <w:rPr>
          <w:b/>
        </w:rPr>
        <w:t>b</w:t>
      </w:r>
      <w:r w:rsidRPr="00A77740">
        <w:rPr>
          <w:b/>
        </w:rPr>
        <w:t>een updated to the NHTSA Final Rule issued January 25, 2018. The basic planning and process principles contained in the GHSA HSP Guidance may still be used as a general guide to overall planning</w:t>
      </w:r>
      <w:r w:rsidR="00B944D1" w:rsidRPr="00A77740">
        <w:rPr>
          <w:b/>
        </w:rPr>
        <w:t xml:space="preserve"> and the federal regulations</w:t>
      </w:r>
      <w:r w:rsidRPr="00A77740">
        <w:rPr>
          <w:b/>
        </w:rPr>
        <w:t>.</w:t>
      </w:r>
      <w:r w:rsidR="000C2BC1">
        <w:rPr>
          <w:b/>
        </w:rPr>
        <w:t xml:space="preserve"> </w:t>
      </w:r>
      <w:r w:rsidR="000C2BC1" w:rsidRPr="000C2BC1">
        <w:rPr>
          <w:b/>
          <w:u w:val="single"/>
        </w:rPr>
        <w:t>The NHTSA Region should be consulted for submission format requirements</w:t>
      </w:r>
      <w:r w:rsidR="000C2BC1">
        <w:rPr>
          <w:b/>
        </w:rPr>
        <w:t>.</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 xml:space="preserve">Dividing </w:t>
      </w:r>
      <w:r w:rsidR="000C2BC1" w:rsidRPr="00B96D1B">
        <w:t>night</w:t>
      </w:r>
      <w:r w:rsidR="000C2BC1">
        <w:t>time</w:t>
      </w:r>
      <w:r w:rsidRPr="00B96D1B">
        <w:t xml:space="preserv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w:t>
      </w:r>
      <w:r w:rsidR="000C2BC1">
        <w:t>nighttime</w:t>
      </w:r>
      <w:r w:rsidRPr="00B96D1B">
        <w:t xml:space="preserv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rsidR="00917037" w:rsidRDefault="00917037">
      <w:pPr>
        <w:pStyle w:val="ItalicBody"/>
      </w:pPr>
      <w:r w:rsidRPr="00D94DC6">
        <w:t>This section describes the process for identifying program areas, targets</w:t>
      </w:r>
      <w:r w:rsidR="00031426" w:rsidRPr="00D94DC6">
        <w:t>,</w:t>
      </w:r>
      <w:r w:rsidRPr="00D94DC6">
        <w:t xml:space="preserve"> strategies</w:t>
      </w:r>
      <w:r w:rsidR="00031426" w:rsidRPr="00D94DC6">
        <w:t xml:space="preserve"> and planned activities</w:t>
      </w:r>
      <w:r>
        <w:t xml:space="preserve">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proofErr w:type="spellStart"/>
      <w:r w:rsidRPr="000D28E7">
        <w:rPr>
          <w:rFonts w:ascii="Tahoma" w:hAnsi="Tahoma" w:cs="Tahoma"/>
          <w:i w:val="0"/>
          <w:iCs w:val="0"/>
          <w:sz w:val="20"/>
          <w:szCs w:val="20"/>
        </w:rPr>
        <w:t>i</w:t>
      </w:r>
      <w:proofErr w:type="spellEnd"/>
      <w:r w:rsidRPr="000D28E7">
        <w:rPr>
          <w:rFonts w:ascii="Tahoma" w:hAnsi="Tahoma" w:cs="Tahoma"/>
          <w:i w:val="0"/>
          <w:iCs w:val="0"/>
          <w:sz w:val="20"/>
          <w:szCs w:val="20"/>
        </w:rPr>
        <w:t xml:space="preserve">.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rsidR="00917037" w:rsidRPr="000D28E7" w:rsidRDefault="00D53DEF" w:rsidP="000C488C">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r w:rsidR="000C488C" w:rsidRPr="000C488C">
        <w:rPr>
          <w:u w:val="single"/>
        </w:rPr>
        <w:t xml:space="preserve">If the HSO chooses to set an aggressive target in a particular Program area, </w:t>
      </w:r>
      <w:r w:rsidR="000C488C">
        <w:rPr>
          <w:u w:val="single"/>
        </w:rPr>
        <w:t xml:space="preserve">the </w:t>
      </w:r>
      <w:r w:rsidR="000C488C" w:rsidRPr="000C488C">
        <w:rPr>
          <w:u w:val="single"/>
        </w:rPr>
        <w:t xml:space="preserve">strategies and funding chosen to achieve that target </w:t>
      </w:r>
      <w:r w:rsidR="000C488C">
        <w:rPr>
          <w:u w:val="single"/>
        </w:rPr>
        <w:t>should be</w:t>
      </w:r>
      <w:r w:rsidR="000C488C" w:rsidRPr="000C488C">
        <w:rPr>
          <w:u w:val="single"/>
        </w:rPr>
        <w:t xml:space="preserve"> adequately aggressive to demonstrate a reasonable opportunity to reach the target.</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 xml:space="preserve">The 12 </w:t>
      </w:r>
      <w:r w:rsidR="00031426" w:rsidRPr="000C2BC1">
        <w:t>Minimum</w:t>
      </w:r>
      <w:r w:rsidRPr="000C2BC1">
        <w:t xml:space="preserve"> </w:t>
      </w:r>
      <w:r w:rsidRPr="000D28E7">
        <w:t>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w:t>
      </w:r>
      <w:r w:rsidRPr="001E58A4">
        <w:lastRenderedPageBreak/>
        <w:t>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D94E83"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 xml:space="preserve">a description of the </w:t>
      </w:r>
      <w:r w:rsidRPr="00D94E83">
        <w:rPr>
          <w:rFonts w:ascii="Tahoma" w:hAnsi="Tahoma" w:cs="Tahoma"/>
          <w:b/>
          <w:iCs/>
          <w:sz w:val="20"/>
          <w:szCs w:val="20"/>
        </w:rPr>
        <w:t>linkage</w:t>
      </w:r>
      <w:r>
        <w:rPr>
          <w:rFonts w:ascii="Tahoma" w:hAnsi="Tahoma" w:cs="Tahoma"/>
          <w:bCs/>
          <w:iCs/>
          <w:sz w:val="20"/>
          <w:szCs w:val="20"/>
        </w:rPr>
        <w:t xml:space="preserv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r w:rsidR="00D94E83" w:rsidRPr="00D94E83">
        <w:rPr>
          <w:rFonts w:ascii="Tahoma" w:hAnsi="Tahoma" w:cs="Tahoma"/>
          <w:bCs/>
          <w:iCs/>
          <w:sz w:val="20"/>
          <w:szCs w:val="20"/>
          <w:u w:val="single"/>
        </w:rPr>
        <w:t>(and project selection)</w:t>
      </w:r>
    </w:p>
    <w:p w:rsidR="00D71937" w:rsidRPr="00D94E83"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F202C" w:rsidRDefault="00917037" w:rsidP="00463143">
      <w:pPr>
        <w:spacing w:before="240" w:after="240"/>
        <w:rPr>
          <w:rFonts w:ascii="Tahoma" w:hAnsi="Tahoma" w:cs="Tahoma"/>
          <w:sz w:val="20"/>
          <w:szCs w:val="20"/>
          <w:u w:val="single"/>
          <w:lang w:eastAsia="ja-JP"/>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r w:rsidR="00031426">
        <w:rPr>
          <w:rFonts w:ascii="Tahoma" w:hAnsi="Tahoma" w:cs="Tahoma"/>
          <w:sz w:val="20"/>
          <w:szCs w:val="20"/>
        </w:rPr>
        <w:t>biennia</w:t>
      </w:r>
      <w:r w:rsidRPr="000D28E7">
        <w:rPr>
          <w:rFonts w:ascii="Tahoma" w:hAnsi="Tahoma" w:cs="Tahoma"/>
          <w:sz w:val="20"/>
          <w:szCs w:val="20"/>
        </w:rPr>
        <w:t xml:space="preserve">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000F202C">
        <w:rPr>
          <w:rFonts w:ascii="Tahoma" w:hAnsi="Tahoma" w:cs="Tahoma"/>
          <w:sz w:val="20"/>
          <w:szCs w:val="20"/>
          <w:u w:val="single"/>
          <w:lang w:eastAsia="ja-JP"/>
        </w:rPr>
        <w:t xml:space="preserve">A </w:t>
      </w:r>
      <w:hyperlink r:id="rId30" w:history="1">
        <w:r w:rsidR="000F202C">
          <w:rPr>
            <w:rStyle w:val="Hyperlink"/>
            <w:rFonts w:ascii="Tahoma" w:hAnsi="Tahoma" w:cs="Tahoma"/>
            <w:sz w:val="20"/>
            <w:szCs w:val="20"/>
            <w:lang w:eastAsia="ja-JP"/>
          </w:rPr>
          <w:t>Crash Modification Factor Clearinghouse</w:t>
        </w:r>
      </w:hyperlink>
      <w:r w:rsidR="000F202C">
        <w:rPr>
          <w:rFonts w:ascii="Tahoma" w:hAnsi="Tahoma" w:cs="Tahoma"/>
          <w:sz w:val="20"/>
          <w:szCs w:val="20"/>
          <w:u w:val="single"/>
          <w:lang w:eastAsia="ja-JP"/>
        </w:rPr>
        <w:t xml:space="preserve"> resource is also available.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1"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w:t>
      </w:r>
      <w:proofErr w:type="spellStart"/>
      <w:r w:rsidR="00917037" w:rsidRPr="000D28E7">
        <w:t>i</w:t>
      </w:r>
      <w:proofErr w:type="spellEnd"/>
      <w:r w:rsidR="00917037" w:rsidRPr="000D28E7">
        <w:t xml:space="preserve">)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A77740">
        <w:rPr>
          <w:rFonts w:ascii="Tahoma" w:hAnsi="Tahoma" w:cs="Tahoma"/>
          <w:sz w:val="20"/>
          <w:szCs w:val="20"/>
        </w:rPr>
        <w:t xml:space="preserve">In addition to the May Click It or Ticket and </w:t>
      </w:r>
      <w:r w:rsidR="00CE5704" w:rsidRPr="00A77740">
        <w:rPr>
          <w:rFonts w:ascii="Tahoma" w:hAnsi="Tahoma" w:cs="Tahoma"/>
          <w:sz w:val="20"/>
          <w:szCs w:val="20"/>
        </w:rPr>
        <w:t>August</w:t>
      </w:r>
      <w:r w:rsidR="006D4DE4" w:rsidRPr="00A77740">
        <w:rPr>
          <w:rFonts w:ascii="Tahoma" w:hAnsi="Tahoma" w:cs="Tahoma"/>
          <w:sz w:val="20"/>
          <w:szCs w:val="20"/>
        </w:rPr>
        <w:t xml:space="preserve"> Impaired Driving campaigns, t</w:t>
      </w:r>
      <w:r w:rsidR="00B944D1" w:rsidRPr="00A77740">
        <w:rPr>
          <w:rFonts w:ascii="Tahoma" w:hAnsi="Tahoma" w:cs="Tahoma"/>
          <w:sz w:val="20"/>
          <w:szCs w:val="20"/>
        </w:rPr>
        <w:t xml:space="preserve">he third mobilization is </w:t>
      </w:r>
      <w:r w:rsidR="006D4DE4" w:rsidRPr="00A77740">
        <w:rPr>
          <w:rFonts w:ascii="Tahoma" w:hAnsi="Tahoma" w:cs="Tahoma"/>
          <w:sz w:val="20"/>
          <w:szCs w:val="20"/>
        </w:rPr>
        <w:t xml:space="preserve">in </w:t>
      </w:r>
      <w:r w:rsidR="00B944D1" w:rsidRPr="00A77740">
        <w:rPr>
          <w:rFonts w:ascii="Tahoma" w:hAnsi="Tahoma" w:cs="Tahoma"/>
          <w:sz w:val="20"/>
          <w:szCs w:val="20"/>
        </w:rPr>
        <w:t>December</w:t>
      </w:r>
      <w:r w:rsidR="006D4DE4" w:rsidRPr="00A77740">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FC130A" w:rsidRDefault="00FC130A" w:rsidP="00BD1D32">
      <w:pPr>
        <w:pStyle w:val="ListParagraph"/>
        <w:autoSpaceDE w:val="0"/>
        <w:autoSpaceDN w:val="0"/>
        <w:adjustRightInd w:val="0"/>
        <w:spacing w:after="0" w:line="240" w:lineRule="auto"/>
        <w:ind w:left="0"/>
        <w:rPr>
          <w:rFonts w:ascii="Tahoma" w:hAnsi="Tahoma" w:cs="Tahoma"/>
          <w:sz w:val="20"/>
          <w:szCs w:val="20"/>
        </w:rPr>
      </w:pPr>
    </w:p>
    <w:p w:rsidR="00CE36DE" w:rsidRDefault="00CE36DE" w:rsidP="00BD1D32">
      <w:pPr>
        <w:pStyle w:val="ListParagraph"/>
        <w:autoSpaceDE w:val="0"/>
        <w:autoSpaceDN w:val="0"/>
        <w:adjustRightInd w:val="0"/>
        <w:spacing w:after="0" w:line="240" w:lineRule="auto"/>
        <w:ind w:left="0"/>
        <w:rPr>
          <w:rFonts w:ascii="Tahoma" w:hAnsi="Tahoma" w:cs="Tahoma"/>
          <w:b/>
          <w:sz w:val="20"/>
          <w:szCs w:val="20"/>
        </w:rPr>
      </w:pPr>
    </w:p>
    <w:p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lastRenderedPageBreak/>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2"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rsidR="009B1938" w:rsidRPr="00D94DC6" w:rsidRDefault="009B1938" w:rsidP="00290C35">
      <w:pPr>
        <w:autoSpaceDE w:val="0"/>
        <w:autoSpaceDN w:val="0"/>
        <w:adjustRightInd w:val="0"/>
        <w:rPr>
          <w:rFonts w:ascii="Tahoma" w:eastAsia="Calibri" w:hAnsi="Tahoma" w:cs="Tahoma"/>
          <w:sz w:val="20"/>
          <w:szCs w:val="20"/>
        </w:rPr>
      </w:pPr>
    </w:p>
    <w:p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3"/>
          <w:headerReference w:type="default" r:id="rId34"/>
          <w:headerReference w:type="first" r:id="rId35"/>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F80668">
      <w:pPr>
        <w:pStyle w:val="RegBody"/>
        <w:rPr>
          <w:rFonts w:cs="Times New Roman"/>
          <w:b/>
          <w:bCs/>
        </w:rPr>
      </w:pPr>
      <w:r w:rsidRPr="00D94DC6">
        <w:rPr>
          <w:b/>
          <w:bCs/>
        </w:rPr>
        <w:t>Minimum</w:t>
      </w:r>
      <w:r w:rsidR="00917037">
        <w:rPr>
          <w:b/>
          <w:bCs/>
        </w:rPr>
        <w:t xml:space="preserve"> Performance Measures</w:t>
      </w:r>
    </w:p>
    <w:p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6"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w:t>
      </w:r>
      <w:r w:rsidR="00D94E83">
        <w:t>*</w:t>
      </w:r>
      <w:r>
        <w:t>FARS)</w:t>
      </w:r>
    </w:p>
    <w:p w:rsidR="00917037" w:rsidRDefault="00917037">
      <w:pPr>
        <w:pStyle w:val="RegBody"/>
        <w:numPr>
          <w:ilvl w:val="0"/>
          <w:numId w:val="31"/>
        </w:numPr>
        <w:spacing w:before="120" w:after="120"/>
      </w:pPr>
      <w:r>
        <w:t>Number of fatalities involving driver or motorcycle operator with .08 BAC or above (</w:t>
      </w:r>
      <w:r w:rsidR="00D94E83">
        <w:t>*</w:t>
      </w:r>
      <w:r>
        <w:t>FARS)</w:t>
      </w:r>
    </w:p>
    <w:p w:rsidR="00917037" w:rsidRDefault="00917037">
      <w:pPr>
        <w:pStyle w:val="RegBody"/>
        <w:numPr>
          <w:ilvl w:val="0"/>
          <w:numId w:val="31"/>
        </w:numPr>
        <w:spacing w:before="120" w:after="120"/>
      </w:pPr>
      <w:r>
        <w:t>Number of speeding-related fatalities (</w:t>
      </w:r>
      <w:r w:rsidR="00D94E83">
        <w:t>*</w:t>
      </w:r>
      <w:r>
        <w:t>FARS)</w:t>
      </w:r>
    </w:p>
    <w:p w:rsidR="00917037" w:rsidRDefault="00917037">
      <w:pPr>
        <w:pStyle w:val="RegBody"/>
        <w:numPr>
          <w:ilvl w:val="0"/>
          <w:numId w:val="31"/>
        </w:numPr>
        <w:spacing w:before="120" w:after="120"/>
      </w:pPr>
      <w:r>
        <w:t>Number of motorcyclist fatalities (</w:t>
      </w:r>
      <w:r w:rsidR="00D94E83">
        <w:t>*</w:t>
      </w:r>
      <w:r>
        <w:t>FARS)</w:t>
      </w:r>
    </w:p>
    <w:p w:rsidR="00917037" w:rsidRDefault="00917037">
      <w:pPr>
        <w:pStyle w:val="RegBody"/>
        <w:numPr>
          <w:ilvl w:val="0"/>
          <w:numId w:val="31"/>
        </w:numPr>
        <w:spacing w:before="120" w:after="120"/>
      </w:pPr>
      <w:r>
        <w:t xml:space="preserve">Number of </w:t>
      </w:r>
      <w:proofErr w:type="spellStart"/>
      <w:r>
        <w:t>unhelmeted</w:t>
      </w:r>
      <w:proofErr w:type="spellEnd"/>
      <w:r>
        <w:t xml:space="preserve"> motorcyclist fatalities (</w:t>
      </w:r>
      <w:r w:rsidR="00D94E83">
        <w:t>*</w:t>
      </w:r>
      <w:r>
        <w:t>FARS)</w:t>
      </w:r>
    </w:p>
    <w:p w:rsidR="00917037" w:rsidRDefault="00917037">
      <w:pPr>
        <w:pStyle w:val="RegBody"/>
        <w:numPr>
          <w:ilvl w:val="0"/>
          <w:numId w:val="31"/>
        </w:numPr>
        <w:spacing w:before="120" w:after="120"/>
      </w:pPr>
      <w:r>
        <w:t>Number of drivers age 20 or younger involved in fatal crashes (</w:t>
      </w:r>
      <w:r w:rsidR="00D94E83">
        <w:t>*</w:t>
      </w:r>
      <w:r>
        <w:t>FARS)</w:t>
      </w:r>
    </w:p>
    <w:p w:rsidR="00917037" w:rsidRDefault="00917037">
      <w:pPr>
        <w:pStyle w:val="RegBody"/>
        <w:numPr>
          <w:ilvl w:val="0"/>
          <w:numId w:val="31"/>
        </w:numPr>
        <w:spacing w:before="120" w:after="120"/>
      </w:pPr>
      <w:r>
        <w:t>Number of pedestrian fatalities (</w:t>
      </w:r>
      <w:r w:rsidR="00D94E83">
        <w:t>*</w:t>
      </w:r>
      <w:r>
        <w:t>FARS)</w:t>
      </w:r>
    </w:p>
    <w:p w:rsidR="00790BA1" w:rsidRPr="002C3F80" w:rsidRDefault="00790BA1">
      <w:pPr>
        <w:pStyle w:val="RegBody"/>
        <w:numPr>
          <w:ilvl w:val="0"/>
          <w:numId w:val="31"/>
        </w:numPr>
        <w:spacing w:before="120" w:after="120"/>
      </w:pPr>
      <w:r w:rsidRPr="002C3F80">
        <w:t>Number of bicyclist fatalities (</w:t>
      </w:r>
      <w:r w:rsidR="00D94E83">
        <w:t>*</w:t>
      </w:r>
      <w:r w:rsidRPr="002C3F80">
        <w:t>FARS) (</w:t>
      </w:r>
      <w:r w:rsidR="00D94E83">
        <w:t xml:space="preserve">beginning </w:t>
      </w:r>
      <w:r w:rsidRPr="002C3F80">
        <w:t>FY15)</w:t>
      </w:r>
    </w:p>
    <w:p w:rsidR="00917037" w:rsidRDefault="00917037">
      <w:pPr>
        <w:pStyle w:val="RegBody"/>
        <w:numPr>
          <w:ilvl w:val="0"/>
          <w:numId w:val="31"/>
        </w:numPr>
        <w:spacing w:before="120" w:after="120"/>
      </w:pPr>
      <w:r>
        <w:t>Percent observed belt use for passenger vehicles – front seat outboard occupants (State survey)</w:t>
      </w:r>
    </w:p>
    <w:p w:rsidR="00D94E83" w:rsidRPr="000C488C" w:rsidRDefault="00D94E83" w:rsidP="00D94E83">
      <w:pPr>
        <w:pStyle w:val="RegBody"/>
        <w:spacing w:before="120" w:after="120"/>
        <w:rPr>
          <w:u w:val="single"/>
        </w:rPr>
      </w:pPr>
      <w:r>
        <w:t>*</w:t>
      </w:r>
      <w:r w:rsidRPr="000C488C">
        <w:rPr>
          <w:u w:val="single"/>
        </w:rPr>
        <w:t xml:space="preserve">In April 2020 NHTSA announced beginning with FY 2020 States may also use State data to set </w:t>
      </w:r>
      <w:r w:rsidR="000C488C">
        <w:rPr>
          <w:u w:val="single"/>
        </w:rPr>
        <w:t xml:space="preserve">these </w:t>
      </w:r>
      <w:r w:rsidRPr="000C488C">
        <w:rPr>
          <w:u w:val="single"/>
        </w:rPr>
        <w:t>targets</w:t>
      </w:r>
      <w:r w:rsidR="000C488C" w:rsidRPr="000C488C">
        <w:rPr>
          <w:u w:val="single"/>
        </w:rPr>
        <w:t>. However, FARS data is encouraged to be used if it is more current.</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lastRenderedPageBreak/>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t>Number of speeding citations issued and arrests made during grant-funded enforcement activities (grant activity reports)</w:t>
      </w:r>
    </w:p>
    <w:p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w:t>
      </w:r>
      <w:proofErr w:type="spellStart"/>
      <w:r>
        <w:t>i</w:t>
      </w:r>
      <w:proofErr w:type="spellEnd"/>
      <w:r>
        <w:t>) quantifiable annual performance targets and (ii)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7"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8"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84556C">
      <w:pPr>
        <w:pStyle w:val="RegBody"/>
      </w:pPr>
      <w:hyperlink r:id="rId39" w:history="1"/>
      <w:hyperlink r:id="rId40"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w:t>
      </w:r>
      <w:r w:rsidR="00917037">
        <w:lastRenderedPageBreak/>
        <w:t>measures are intended for use by Federal, State, and local governments to monitor the development and implementation of traffic record data systems, strategic plans, and data improvement grant processes. 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1"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2"/>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proofErr w:type="spellStart"/>
      <w:r w:rsidRPr="000D28E7">
        <w:rPr>
          <w:rFonts w:ascii="Tahoma" w:hAnsi="Tahoma" w:cs="Tahoma"/>
          <w:b/>
          <w:bCs/>
          <w:sz w:val="20"/>
          <w:szCs w:val="20"/>
        </w:rPr>
        <w:t>i</w:t>
      </w:r>
      <w:proofErr w:type="spellEnd"/>
      <w:r w:rsidRPr="000D28E7">
        <w:rPr>
          <w:rFonts w:ascii="Tahoma" w:hAnsi="Tahoma" w:cs="Tahoma"/>
          <w:b/>
          <w:bCs/>
          <w:sz w:val="20"/>
          <w:szCs w:val="20"/>
        </w:rPr>
        <w:t>. Maintenance of Effort</w:t>
      </w:r>
    </w:p>
    <w:p w:rsidR="00917037" w:rsidRPr="001E58A4" w:rsidRDefault="00917037" w:rsidP="00A77740">
      <w:pPr>
        <w:pStyle w:val="PlainText"/>
        <w:rPr>
          <w:rFonts w:ascii="Tahoma" w:hAnsi="Tahoma" w:cs="Tahoma"/>
        </w:rPr>
      </w:pPr>
      <w:r w:rsidRPr="000D28E7">
        <w:rPr>
          <w:rFonts w:ascii="Tahoma" w:hAnsi="Tahoma" w:cs="Tahoma"/>
        </w:rPr>
        <w:t>MAP-21 mandate</w:t>
      </w:r>
      <w:r w:rsidR="003D3544" w:rsidRPr="000D28E7">
        <w:rPr>
          <w:rFonts w:ascii="Tahoma" w:hAnsi="Tahoma" w:cs="Tahoma"/>
        </w:rPr>
        <w:t>d</w:t>
      </w:r>
      <w:r w:rsidRPr="000D28E7">
        <w:rPr>
          <w:rFonts w:ascii="Tahoma" w:hAnsi="Tahoma" w:cs="Tahoma"/>
        </w:rPr>
        <w:t xml:space="preserve"> maintenance of effort (MOE) whe</w:t>
      </w:r>
      <w:r w:rsidR="00B3706B" w:rsidRPr="000D28E7">
        <w:rPr>
          <w:rFonts w:ascii="Tahoma" w:hAnsi="Tahoma" w:cs="Tahoma"/>
        </w:rPr>
        <w:t xml:space="preserve">n </w:t>
      </w:r>
      <w:r w:rsidRPr="000D28E7">
        <w:rPr>
          <w:rFonts w:ascii="Tahoma" w:hAnsi="Tahoma" w:cs="Tahoma"/>
        </w:rPr>
        <w:t>States</w:t>
      </w:r>
      <w:r w:rsidR="00B3706B" w:rsidRPr="000D28E7">
        <w:rPr>
          <w:rFonts w:ascii="Tahoma" w:hAnsi="Tahoma" w:cs="Tahoma"/>
        </w:rPr>
        <w:t xml:space="preserve"> </w:t>
      </w:r>
      <w:r w:rsidRPr="000D28E7">
        <w:rPr>
          <w:rFonts w:ascii="Tahoma" w:hAnsi="Tahoma" w:cs="Tahoma"/>
        </w:rPr>
        <w:t>receiv</w:t>
      </w:r>
      <w:r w:rsidR="00B3706B" w:rsidRPr="000D28E7">
        <w:rPr>
          <w:rFonts w:ascii="Tahoma" w:hAnsi="Tahoma" w:cs="Tahoma"/>
        </w:rPr>
        <w:t xml:space="preserve">e </w:t>
      </w:r>
      <w:r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Pr="000D28E7">
        <w:rPr>
          <w:rFonts w:ascii="Tahoma" w:hAnsi="Tahoma" w:cs="Tahoma"/>
        </w:rPr>
        <w:t>.</w:t>
      </w:r>
      <w:r w:rsidR="00667ADD" w:rsidRPr="000D28E7">
        <w:rPr>
          <w:rFonts w:ascii="Tahoma" w:hAnsi="Tahoma" w:cs="Tahoma"/>
        </w:rPr>
        <w:t xml:space="preserve"> </w:t>
      </w:r>
      <w:r w:rsidR="00A77740">
        <w:rPr>
          <w:rFonts w:ascii="Tahoma" w:hAnsi="Tahoma" w:cs="Tahoma"/>
        </w:rPr>
        <w:t xml:space="preserve">As of </w:t>
      </w:r>
      <w:r w:rsidR="00FF6971" w:rsidRPr="000D28E7">
        <w:rPr>
          <w:rFonts w:ascii="Tahoma" w:hAnsi="Tahoma" w:cs="Tahoma"/>
        </w:rPr>
        <w:t>FY18, th</w:t>
      </w:r>
      <w:r w:rsidR="00EE6F7C" w:rsidRPr="000D28E7">
        <w:rPr>
          <w:rFonts w:ascii="Tahoma" w:hAnsi="Tahoma" w:cs="Tahoma"/>
        </w:rPr>
        <w:t xml:space="preserve">e HSO shall </w:t>
      </w:r>
      <w:r w:rsidR="00FF6971" w:rsidRPr="000D28E7">
        <w:rPr>
          <w:rFonts w:ascii="Tahoma" w:hAnsi="Tahoma" w:cs="Tahoma"/>
        </w:rPr>
        <w:t>c</w:t>
      </w:r>
      <w:r w:rsidR="00EE6F7C" w:rsidRPr="000D28E7">
        <w:rPr>
          <w:rFonts w:ascii="Tahoma" w:hAnsi="Tahoma" w:cs="Tahoma"/>
        </w:rPr>
        <w:t>ertif</w:t>
      </w:r>
      <w:r w:rsidR="00FF6971" w:rsidRPr="000D28E7">
        <w:rPr>
          <w:rFonts w:ascii="Tahoma" w:hAnsi="Tahoma" w:cs="Tahoma"/>
        </w:rPr>
        <w:t>y in the HSP</w:t>
      </w:r>
      <w:r w:rsidR="00EE6F7C" w:rsidRPr="000D28E7">
        <w:rPr>
          <w:rFonts w:ascii="Tahoma" w:hAnsi="Tahoma" w:cs="Tahoma"/>
        </w:rPr>
        <w:t xml:space="preserve"> that the lead State agency </w:t>
      </w:r>
      <w:r w:rsidR="00FF6971" w:rsidRPr="000D28E7">
        <w:rPr>
          <w:rFonts w:ascii="Tahoma" w:hAnsi="Tahoma" w:cs="Tahoma"/>
        </w:rPr>
        <w:t xml:space="preserve">designated by the GR as </w:t>
      </w:r>
      <w:r w:rsidR="00EE6F7C" w:rsidRPr="000D28E7">
        <w:rPr>
          <w:rFonts w:ascii="Tahoma" w:hAnsi="Tahoma" w:cs="Tahoma"/>
        </w:rPr>
        <w:t xml:space="preserve">responsible for those traffic safety programs is maintaining aggregate expenditures at or above the average level of such expenditures in fiscal years </w:t>
      </w:r>
      <w:r w:rsidR="00AB5D35" w:rsidRPr="000D28E7">
        <w:rPr>
          <w:rFonts w:ascii="Tahoma" w:hAnsi="Tahoma" w:cs="Tahoma"/>
        </w:rPr>
        <w:t>2014 and 2015</w:t>
      </w:r>
      <w:r w:rsidR="00EE6F7C" w:rsidRPr="000D28E7">
        <w:rPr>
          <w:rFonts w:ascii="Tahoma" w:hAnsi="Tahoma" w:cs="Tahoma"/>
        </w:rPr>
        <w:t>.</w:t>
      </w:r>
      <w:r w:rsidR="00C33BC9" w:rsidRPr="000D28E7">
        <w:rPr>
          <w:rFonts w:ascii="Tahoma" w:hAnsi="Tahoma" w:cs="Tahoma"/>
        </w:rPr>
        <w:t xml:space="preserve"> </w:t>
      </w:r>
      <w:r w:rsidR="00FF6971" w:rsidRPr="000D28E7">
        <w:rPr>
          <w:rFonts w:ascii="Tahoma" w:hAnsi="Tahoma" w:cs="Tahoma"/>
        </w:rPr>
        <w:t>For FY18 the HSO submi</w:t>
      </w:r>
      <w:r w:rsidR="00894945" w:rsidRPr="000D28E7">
        <w:rPr>
          <w:rFonts w:ascii="Tahoma" w:hAnsi="Tahoma" w:cs="Tahoma"/>
        </w:rPr>
        <w:t>tted</w:t>
      </w:r>
      <w:r w:rsidR="00FF6971" w:rsidRPr="000D28E7">
        <w:rPr>
          <w:rFonts w:ascii="Tahoma" w:hAnsi="Tahoma" w:cs="Tahoma"/>
        </w:rPr>
        <w:t xml:space="preserve"> to NHTSA for approval the lead state agencies</w:t>
      </w:r>
      <w:r w:rsidR="00894945" w:rsidRPr="000D28E7">
        <w:rPr>
          <w:rFonts w:ascii="Tahoma" w:hAnsi="Tahoma" w:cs="Tahoma"/>
        </w:rPr>
        <w:t xml:space="preserve"> which cannot be changed for the duration of the reauthorization</w:t>
      </w:r>
      <w:r w:rsidR="00FF6971" w:rsidRPr="000D28E7">
        <w:rPr>
          <w:rFonts w:ascii="Tahoma" w:hAnsi="Tahoma" w:cs="Tahoma"/>
        </w:rPr>
        <w:t>.</w:t>
      </w:r>
      <w:r w:rsidR="00A77740" w:rsidRPr="00A77740">
        <w:rPr>
          <w:rFonts w:ascii="Calibri" w:eastAsia="Calibri" w:hAnsi="Calibri" w:cs="AkzidenzGroteskBE-BoldIt"/>
          <w:bCs/>
          <w:iCs/>
          <w:sz w:val="22"/>
          <w:szCs w:val="22"/>
          <w:u w:val="single"/>
        </w:rPr>
        <w:t xml:space="preserve"> </w:t>
      </w:r>
      <w:r w:rsidR="00A77740" w:rsidRPr="00E30019">
        <w:rPr>
          <w:rFonts w:ascii="Tahoma" w:eastAsia="Calibri" w:hAnsi="Tahoma" w:cs="Tahoma"/>
          <w:bCs/>
          <w:iCs/>
        </w:rPr>
        <w:t xml:space="preserve">Effective August 13, 2019, NHTSA issued revised </w:t>
      </w:r>
      <w:hyperlink r:id="rId43" w:history="1">
        <w:r w:rsidR="00A77740" w:rsidRPr="00E30019">
          <w:rPr>
            <w:rFonts w:ascii="Tahoma" w:eastAsia="Calibri" w:hAnsi="Tahoma" w:cs="Tahoma"/>
            <w:color w:val="0000FF"/>
          </w:rPr>
          <w:t>NHTSA MOE Guidance</w:t>
        </w:r>
      </w:hyperlink>
      <w:r w:rsidR="00A77740" w:rsidRPr="00E30019">
        <w:rPr>
          <w:rFonts w:ascii="Tahoma" w:eastAsia="Calibri" w:hAnsi="Tahoma" w:cs="Tahoma"/>
          <w:color w:val="0000FF"/>
        </w:rPr>
        <w:t xml:space="preserve"> </w:t>
      </w:r>
      <w:r w:rsidR="00A77740" w:rsidRPr="00E30019">
        <w:rPr>
          <w:rFonts w:ascii="Tahoma" w:eastAsia="Calibri" w:hAnsi="Tahoma" w:cs="Tahoma"/>
          <w:bCs/>
          <w:iCs/>
        </w:rPr>
        <w:t>which allows the SHSO to submit a change in lead state agency to their Regional Office based on the revisions to that Guidance but no later than October 1, 2019.</w:t>
      </w:r>
      <w:r w:rsidR="00FF6971" w:rsidRPr="000D28E7">
        <w:rPr>
          <w:rFonts w:ascii="Tahoma" w:hAnsi="Tahoma" w:cs="Tahoma"/>
        </w:rPr>
        <w:t xml:space="preserve"> </w:t>
      </w:r>
      <w:r w:rsidR="000C2BC1" w:rsidRPr="000C2BC1">
        <w:rPr>
          <w:rFonts w:ascii="Tahoma" w:hAnsi="Tahoma" w:cs="Tahoma"/>
          <w:u w:val="single"/>
        </w:rPr>
        <w:t>NHTSA Memo Guidance dated August 13, 2019, made changes to the interpretation of selecting lead State agencies that may have $0 State expenditures, and, inclusions and exclusions when making MOE calculations. NOTE: Due to federal Congressional restrictions in the final budget for FY20, NHTSA was required to stop enforcing the MOE requirement. It is unknown at this time how that change will affect the FY21 HSP.</w:t>
      </w:r>
      <w:r w:rsidR="000C2BC1" w:rsidRPr="000C2BC1">
        <w:rPr>
          <w:rFonts w:ascii="Tahoma" w:hAnsi="Tahoma" w:cs="Tahoma"/>
        </w:rPr>
        <w:t xml:space="preserve"> </w:t>
      </w:r>
      <w:r w:rsidR="00FF6971" w:rsidRPr="000D28E7">
        <w:rPr>
          <w:rFonts w:ascii="Tahoma" w:hAnsi="Tahoma" w:cs="Tahoma"/>
        </w:rPr>
        <w:t>By March 31 annually, the HSO shall have available the</w:t>
      </w:r>
      <w:r w:rsidR="00FF6971" w:rsidRPr="001E58A4">
        <w:rPr>
          <w:rFonts w:ascii="Tahoma" w:hAnsi="Tahoma" w:cs="Tahoma"/>
        </w:rPr>
        <w:t xml:space="preserve"> MOE comparison report for review by NHTSA. </w:t>
      </w:r>
      <w:r w:rsidR="00DF3BC2" w:rsidRPr="001E58A4">
        <w:rPr>
          <w:rFonts w:ascii="Tahoma" w:hAnsi="Tahoma" w:cs="Tahoma"/>
        </w:rPr>
        <w:t xml:space="preserve"> </w:t>
      </w:r>
      <w:r w:rsidRPr="001E58A4">
        <w:rPr>
          <w:rFonts w:ascii="Tahoma" w:hAnsi="Tahoma" w:cs="Tahoma"/>
        </w:rPr>
        <w:t xml:space="preserve">WAIVER: </w:t>
      </w:r>
      <w:r w:rsidR="00AB5D35" w:rsidRPr="001E58A4">
        <w:rPr>
          <w:rFonts w:ascii="Tahoma" w:hAnsi="Tahoma" w:cs="Tahoma"/>
        </w:rPr>
        <w:t>The FAST Act provides for</w:t>
      </w:r>
      <w:r w:rsidRPr="001E58A4">
        <w:rPr>
          <w:rFonts w:ascii="Tahoma" w:hAnsi="Tahoma" w:cs="Tahoma"/>
        </w:rPr>
        <w:t xml:space="preserve"> a one-time exception </w:t>
      </w:r>
      <w:r w:rsidR="00AB5D35" w:rsidRPr="001E58A4">
        <w:rPr>
          <w:rFonts w:ascii="Tahoma" w:hAnsi="Tahoma" w:cs="Tahoma"/>
        </w:rPr>
        <w:t xml:space="preserve">for </w:t>
      </w:r>
      <w:r w:rsidRPr="001E58A4">
        <w:rPr>
          <w:rFonts w:ascii="Tahoma" w:hAnsi="Tahoma" w:cs="Tahoma"/>
        </w:rPr>
        <w:t xml:space="preserve">the HSO to request a </w:t>
      </w:r>
      <w:r w:rsidR="00C33BC9" w:rsidRPr="001E58A4">
        <w:rPr>
          <w:rFonts w:ascii="Tahoma" w:hAnsi="Tahoma" w:cs="Tahoma"/>
        </w:rPr>
        <w:t xml:space="preserve">MOE </w:t>
      </w:r>
      <w:r w:rsidRPr="001E58A4">
        <w:rPr>
          <w:rFonts w:ascii="Tahoma" w:hAnsi="Tahoma" w:cs="Tahoma"/>
        </w:rPr>
        <w:t xml:space="preserve">waiver </w:t>
      </w:r>
      <w:r w:rsidR="00AB5D35" w:rsidRPr="001E58A4">
        <w:rPr>
          <w:rFonts w:ascii="Tahoma" w:hAnsi="Tahoma" w:cs="Tahoma"/>
        </w:rPr>
        <w:t>for exceptional or uncontrollable circumstances which is typically</w:t>
      </w:r>
      <w:r w:rsidRPr="001E58A4">
        <w:rPr>
          <w:rFonts w:ascii="Tahoma" w:hAnsi="Tahoma" w:cs="Tahoma"/>
        </w:rPr>
        <w:t xml:space="preserve"> fiscal </w:t>
      </w:r>
      <w:r w:rsidR="00AB5D35" w:rsidRPr="001E58A4">
        <w:rPr>
          <w:rFonts w:ascii="Tahoma" w:hAnsi="Tahoma" w:cs="Tahoma"/>
        </w:rPr>
        <w:t>or</w:t>
      </w:r>
      <w:r w:rsidRPr="001E58A4">
        <w:rPr>
          <w:rFonts w:ascii="Tahoma" w:hAnsi="Tahoma" w:cs="Tahoma"/>
        </w:rPr>
        <w:t xml:space="preserve"> natural disasters. </w:t>
      </w:r>
      <w:r w:rsidR="003D3544" w:rsidRPr="001E58A4">
        <w:rPr>
          <w:rFonts w:ascii="Tahoma" w:hAnsi="Tahoma" w:cs="Tahoma"/>
        </w:rPr>
        <w:t>For additional information on MOE requirements, see the</w:t>
      </w:r>
      <w:r w:rsidR="00894945">
        <w:rPr>
          <w:rFonts w:ascii="Tahoma" w:hAnsi="Tahoma" w:cs="Tahoma"/>
        </w:rPr>
        <w:t xml:space="preserve"> </w:t>
      </w:r>
      <w:hyperlink r:id="rId44" w:history="1">
        <w:r w:rsidR="00894945">
          <w:rPr>
            <w:rStyle w:val="Hyperlink"/>
            <w:rFonts w:ascii="Tahoma" w:hAnsi="Tahoma" w:cs="Tahoma"/>
          </w:rPr>
          <w:t>GHSA MOE Advisory</w:t>
        </w:r>
      </w:hyperlink>
      <w:r w:rsidR="00894945">
        <w:rPr>
          <w:rFonts w:ascii="Tahoma" w:hAnsi="Tahoma" w:cs="Tahoma"/>
        </w:rPr>
        <w:t xml:space="preserve">. </w:t>
      </w:r>
    </w:p>
    <w:p w:rsidR="00917037" w:rsidRPr="00A77740"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and Local Benefit</w:t>
      </w:r>
    </w:p>
    <w:p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benefit requirement does not apply to projects paid with Section 405 funds used for Section 402 purposes.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p w:rsidR="00D94E83" w:rsidRDefault="00D94E83" w:rsidP="0093205E">
      <w:pPr>
        <w:spacing w:before="240" w:after="24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lastRenderedPageBreak/>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rsidR="00D539CB" w:rsidRPr="00C41D42" w:rsidRDefault="00D539CB">
            <w:pPr>
              <w:rPr>
                <w:rFonts w:ascii="Tahoma" w:hAnsi="Tahoma" w:cs="Tahoma"/>
                <w:sz w:val="20"/>
                <w:szCs w:val="20"/>
              </w:rPr>
            </w:pPr>
          </w:p>
          <w:p w:rsidR="00902181" w:rsidRPr="00902181" w:rsidRDefault="00902181" w:rsidP="00AA1807">
            <w:pPr>
              <w:rPr>
                <w:rFonts w:ascii="Tahoma" w:hAnsi="Tahoma" w:cs="Tahoma"/>
                <w:sz w:val="20"/>
                <w:szCs w:val="20"/>
              </w:rPr>
            </w:pPr>
          </w:p>
        </w:tc>
        <w:tc>
          <w:tcPr>
            <w:tcW w:w="3440" w:type="pct"/>
          </w:tcPr>
          <w:p w:rsidR="00AA1807" w:rsidRPr="00D94DC6" w:rsidRDefault="00C81AA0" w:rsidP="00C81AA0">
            <w:pPr>
              <w:numPr>
                <w:ilvl w:val="0"/>
                <w:numId w:val="39"/>
              </w:numPr>
              <w:rPr>
                <w:rFonts w:ascii="Tahoma" w:hAnsi="Tahoma" w:cs="Tahoma"/>
                <w:sz w:val="20"/>
                <w:szCs w:val="20"/>
              </w:rPr>
            </w:pPr>
            <w:bookmarkStart w:id="0"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Hiring a full-time or part-time alcohol, drugs or combined coordinator</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Court support of HVE efforts, training and education of CJ professionals to assist in handling impaired driving cases, hiring traffic safety resource prosecutors, hiring judicial outreach liaisons and establishing DWI courts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for and implementation of impaired driving assessment programs for persons convicted of alcohol, drug or combined offenses to determine recidivism or mental health/substance abuse treatment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r w:rsidRPr="00AA1807">
              <w:rPr>
                <w:rFonts w:ascii="Tahoma" w:hAnsi="Tahoma" w:cs="Tahoma"/>
                <w:sz w:val="20"/>
                <w:szCs w:val="20"/>
              </w:rPr>
              <w:t>Up to 50% for any Section 402 eligible projects</w:t>
            </w:r>
          </w:p>
          <w:p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lastRenderedPageBreak/>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0"/>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 xml:space="preserve">if the State has </w:t>
            </w:r>
            <w:proofErr w:type="spellStart"/>
            <w:r w:rsidR="00C33BC9" w:rsidRPr="00A16A3A">
              <w:rPr>
                <w:rFonts w:ascii="Tahoma" w:hAnsi="Tahoma" w:cs="Tahoma"/>
                <w:sz w:val="20"/>
                <w:szCs w:val="20"/>
              </w:rPr>
              <w:t>conformed</w:t>
            </w:r>
            <w:proofErr w:type="spellEnd"/>
            <w:r w:rsidR="00C33BC9" w:rsidRPr="00A16A3A">
              <w:rPr>
                <w:rFonts w:ascii="Tahoma" w:hAnsi="Tahoma" w:cs="Tahoma"/>
                <w:sz w:val="20"/>
                <w:szCs w:val="20"/>
              </w:rPr>
              <w:t xml:space="preserve">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D94E83" w:rsidRDefault="00D94E83">
      <w:pPr>
        <w:rPr>
          <w:rFonts w:ascii="Tahoma" w:hAnsi="Tahoma" w:cs="Tahoma"/>
          <w:b/>
          <w:bCs/>
          <w:sz w:val="20"/>
          <w:szCs w:val="20"/>
        </w:rPr>
      </w:pPr>
    </w:p>
    <w:p w:rsidR="00D94E83" w:rsidRDefault="00D94E83">
      <w:pPr>
        <w:rPr>
          <w:rFonts w:ascii="Tahoma" w:hAnsi="Tahoma" w:cs="Tahoma"/>
          <w:b/>
          <w:bCs/>
          <w:sz w:val="20"/>
          <w:szCs w:val="20"/>
        </w:rPr>
      </w:pPr>
    </w:p>
    <w:p w:rsidR="00D94E83" w:rsidRDefault="00D94E83">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lastRenderedPageBreak/>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5"/>
          <w:headerReference w:type="default" r:id="rId46"/>
          <w:headerReference w:type="first" r:id="rId47"/>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8"/>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9"/>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50"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Pr="000D199E" w:rsidRDefault="00917037">
      <w:pPr>
        <w:rPr>
          <w:rFonts w:ascii="Tahoma" w:hAnsi="Tahoma" w:cs="Tahoma"/>
          <w:b/>
          <w:bCs/>
        </w:rPr>
      </w:pPr>
    </w:p>
    <w:p w:rsidR="00917037" w:rsidRDefault="00917037">
      <w:pPr>
        <w:rPr>
          <w:rFonts w:ascii="Tahoma" w:hAnsi="Tahoma" w:cs="Tahoma"/>
          <w:b/>
          <w:bCs/>
        </w:rPr>
        <w:sectPr w:rsidR="00917037">
          <w:headerReference w:type="default" r:id="rId51"/>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proofErr w:type="spellStart"/>
      <w:r>
        <w:rPr>
          <w:rFonts w:ascii="Tahoma" w:hAnsi="Tahoma" w:cs="Tahoma"/>
          <w:b/>
          <w:bCs/>
          <w:sz w:val="20"/>
          <w:szCs w:val="20"/>
        </w:rPr>
        <w:t>i</w:t>
      </w:r>
      <w:proofErr w:type="spellEnd"/>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w:t>
      </w:r>
      <w:r w:rsidR="00CE36DE" w:rsidRPr="004032F0">
        <w:t>program and</w:t>
      </w:r>
      <w:r w:rsidRPr="004032F0">
        <w:t xml:space="preserve">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52"/>
          <w:headerReference w:type="default" r:id="rId53"/>
          <w:headerReference w:type="first" r:id="rId54"/>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 xml:space="preserve">When sub grants are directed to State agencies and local benefit is claimed, the HSO shall ensure that local benefit source documentation is readily available </w:t>
      </w:r>
      <w:r w:rsidR="00CE36DE">
        <w:t>on-site</w:t>
      </w:r>
      <w:r>
        <w:t xml:space="preserv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F202B1" w:rsidRPr="00F202B1" w:rsidRDefault="00F202B1" w:rsidP="00F202B1">
      <w:pPr>
        <w:pStyle w:val="RegBody"/>
      </w:pPr>
      <w:r w:rsidRPr="00F202B1">
        <w:rPr>
          <w:b/>
          <w:u w:val="single"/>
        </w:rPr>
        <w:t>Use of Section 405 Funds that are Section 402 Eligible:</w:t>
      </w:r>
      <w:r>
        <w:t xml:space="preserve"> </w:t>
      </w:r>
      <w:r w:rsidRPr="0061269C">
        <w:rPr>
          <w:u w:val="single"/>
        </w:rPr>
        <w:t xml:space="preserve">The 40 percent share for local benefit </w:t>
      </w:r>
      <w:r>
        <w:rPr>
          <w:u w:val="single"/>
        </w:rPr>
        <w:t xml:space="preserve">requirement </w:t>
      </w:r>
      <w:r w:rsidRPr="0061269C">
        <w:rPr>
          <w:u w:val="single"/>
        </w:rPr>
        <w:t>does not apply to projects paid with Section 405 funds used for Section 402 purposes.</w:t>
      </w:r>
    </w:p>
    <w:p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E36DE"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r w:rsidR="005B2F26">
        <w:t xml:space="preserve"> </w:t>
      </w:r>
      <w:r w:rsidR="005B2F26" w:rsidRPr="00CE36DE">
        <w:t xml:space="preserve">The requirements are detailed in federal regulations at 23 CFR Parts 1270 and 1275. </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6"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w:t>
      </w:r>
      <w:proofErr w:type="spellStart"/>
      <w:r>
        <w:t>i</w:t>
      </w:r>
      <w:proofErr w:type="spellEnd"/>
      <w:r>
        <w:t>)),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CE36DE">
        <w:t>FY201</w:t>
      </w:r>
      <w:r w:rsidR="00D2098E" w:rsidRPr="00CE36DE">
        <w:t>9</w:t>
      </w:r>
      <w:r w:rsidRPr="00CE36DE">
        <w:t xml:space="preserve"> up to </w:t>
      </w:r>
      <w:r w:rsidRPr="00CE36DE">
        <w:rPr>
          <w:b/>
          <w:bCs/>
        </w:rPr>
        <w:t>1</w:t>
      </w:r>
      <w:r w:rsidR="00D2098E" w:rsidRPr="00CE36DE">
        <w:rPr>
          <w:b/>
          <w:bCs/>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7"/>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8"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9"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w:t>
      </w:r>
      <w:r w:rsidR="006A43E9">
        <w:t>funds,</w:t>
      </w:r>
      <w:r>
        <w:t xml:space="preserve">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60"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 xml:space="preserve">Television public service announcements and advertising created with the aid of Federal funds must contain </w:t>
      </w:r>
      <w:r w:rsidR="00CE36DE" w:rsidRPr="00A16A3A">
        <w:t>closed captioning</w:t>
      </w:r>
      <w:r w:rsidRPr="00A16A3A">
        <w:t xml:space="preserve"> of the verbal content.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61"/>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62"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CE36DE" w:rsidP="00C93385">
      <w:pPr>
        <w:pStyle w:val="Heading1"/>
        <w:numPr>
          <w:ilvl w:val="0"/>
          <w:numId w:val="24"/>
        </w:numPr>
        <w:spacing w:before="120" w:after="120"/>
        <w:rPr>
          <w:b w:val="0"/>
          <w:bCs w:val="0"/>
          <w:sz w:val="20"/>
          <w:szCs w:val="20"/>
        </w:rPr>
      </w:pPr>
      <w:r>
        <w:rPr>
          <w:b w:val="0"/>
          <w:bCs w:val="0"/>
          <w:sz w:val="20"/>
          <w:szCs w:val="20"/>
        </w:rPr>
        <w:t>Nondiscrimination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3" w:anchor="sg2.1.200_1337.sg7" w:history="1">
        <w:r w:rsidR="00F0629F" w:rsidRPr="00CC7789">
          <w:rPr>
            <w:rStyle w:val="Hyperlink"/>
            <w:u w:val="none"/>
          </w:rPr>
          <w:t xml:space="preserve">2 CFR Part 200 Remedies for </w:t>
        </w:r>
        <w:r w:rsidR="006A43E9" w:rsidRPr="00CC7789">
          <w:rPr>
            <w:rStyle w:val="Hyperlink"/>
            <w:u w:val="none"/>
          </w:rPr>
          <w:t>Noncompliance</w:t>
        </w:r>
        <w:r w:rsidR="00F0629F" w:rsidRPr="00CC7789">
          <w:rPr>
            <w:rStyle w:val="Hyperlink"/>
            <w:u w:val="none"/>
          </w:rPr>
          <w:t xml:space="preserv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4"/>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Pr="00E30019" w:rsidRDefault="00917037">
      <w:pPr>
        <w:pStyle w:val="RegBody"/>
      </w:pPr>
      <w:r>
        <w:t>Section 402 and Section 405 grant funds are authorized for apportionment or allocation each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w:t>
      </w:r>
      <w:r w:rsidR="005537F2">
        <w:t>”</w:t>
      </w:r>
      <w:r>
        <w:t xml:space="preserve">). </w:t>
      </w:r>
      <w:r w:rsidR="005537F2" w:rsidRPr="00E30019">
        <w:t>States should, to the fullest extent possible, expend these funds during those fiscal years.</w:t>
      </w:r>
    </w:p>
    <w:p w:rsidR="00917037" w:rsidRPr="00E30019" w:rsidRDefault="00917037">
      <w:pPr>
        <w:pStyle w:val="RegBody"/>
        <w:rPr>
          <w:bCs/>
        </w:rPr>
      </w:pPr>
      <w:r w:rsidRPr="00E30019">
        <w:t>NOTE: Beginning with MAP-21</w:t>
      </w:r>
      <w:r w:rsidR="00050824" w:rsidRPr="00E30019">
        <w:t xml:space="preserve"> and continuing under the FAST Act</w:t>
      </w:r>
      <w:r w:rsidRPr="00E30019">
        <w:t xml:space="preserve">, during the last year of availability of </w:t>
      </w:r>
      <w:r w:rsidR="005537F2" w:rsidRPr="00E30019">
        <w:t xml:space="preserve">the </w:t>
      </w:r>
      <w:r w:rsidRPr="00E30019">
        <w:t>funds</w:t>
      </w:r>
      <w:r w:rsidR="005537F2" w:rsidRPr="00E30019">
        <w:t xml:space="preserve"> in year 4</w:t>
      </w:r>
      <w:r w:rsidRPr="00E30019">
        <w:t xml:space="preserve">, NHTSA will notify States of unexpended grant funds </w:t>
      </w:r>
      <w:r w:rsidR="005537F2" w:rsidRPr="00E30019">
        <w:t xml:space="preserve">potentially </w:t>
      </w:r>
      <w:r w:rsidRPr="00E30019">
        <w:t xml:space="preserve">subject to </w:t>
      </w:r>
      <w:r w:rsidR="005537F2" w:rsidRPr="00E30019">
        <w:t xml:space="preserve">lapsing </w:t>
      </w:r>
      <w:r w:rsidRPr="00E30019">
        <w:t>not later than 180 days before the end of the period of availability.</w:t>
      </w:r>
      <w:r w:rsidR="001E3E5F" w:rsidRPr="00E30019">
        <w:t xml:space="preserve"> </w:t>
      </w:r>
      <w:r w:rsidRPr="00E30019">
        <w:t>The State may then commit the unexpended grant funds to a specific project</w:t>
      </w:r>
      <w:r w:rsidR="005537F2" w:rsidRPr="00E30019">
        <w:t>, referred to as a “promised project”,</w:t>
      </w:r>
      <w:r w:rsidRPr="00E30019">
        <w:t xml:space="preserve"> </w:t>
      </w:r>
      <w:r w:rsidR="005537F2" w:rsidRPr="00E30019">
        <w:t xml:space="preserve">which will be completed </w:t>
      </w:r>
      <w:r w:rsidRPr="00E30019">
        <w:t>before the end of the period of availability</w:t>
      </w:r>
      <w:r w:rsidR="005537F2" w:rsidRPr="00E30019">
        <w:t xml:space="preserve"> which is year 5</w:t>
      </w:r>
      <w:r w:rsidRPr="00E30019">
        <w:t xml:space="preserve">. The funds committed to a specific project must then be expended before the end of the succeeding fiscal year and only on that project. </w:t>
      </w:r>
      <w:r w:rsidR="005537F2" w:rsidRPr="00E30019">
        <w:t xml:space="preserve">The funds cannot be moved to another project. </w:t>
      </w:r>
      <w:r w:rsidRPr="00E30019">
        <w:t xml:space="preserve">At the end of that time period, </w:t>
      </w:r>
      <w:r w:rsidR="005537F2" w:rsidRPr="00E30019">
        <w:t xml:space="preserve">any </w:t>
      </w:r>
      <w:r w:rsidRPr="00E30019">
        <w:t xml:space="preserve">unexpended grant funds </w:t>
      </w:r>
      <w:r w:rsidR="005537F2" w:rsidRPr="00E30019">
        <w:t xml:space="preserve">for that promised project </w:t>
      </w:r>
      <w:r w:rsidRPr="00E30019">
        <w:t xml:space="preserve">will </w:t>
      </w:r>
      <w:r w:rsidRPr="00E30019">
        <w:rPr>
          <w:b/>
          <w:bCs/>
        </w:rPr>
        <w:t>lapse</w:t>
      </w:r>
      <w:r w:rsidRPr="00E30019">
        <w:t xml:space="preserve"> and NHTSA will </w:t>
      </w:r>
      <w:r w:rsidRPr="00E30019">
        <w:rPr>
          <w:b/>
          <w:bCs/>
        </w:rPr>
        <w:t>deobligate</w:t>
      </w:r>
      <w:r w:rsidRPr="00E30019">
        <w:t xml:space="preserve"> unexpended balances, s</w:t>
      </w:r>
      <w:r w:rsidR="00050824" w:rsidRPr="00E30019">
        <w:t xml:space="preserve">ee </w:t>
      </w:r>
      <w:r w:rsidR="00050824" w:rsidRPr="00E30019">
        <w:rPr>
          <w:bCs/>
        </w:rPr>
        <w:t>23 CFR Part 1300.41 (b)</w:t>
      </w:r>
      <w:r w:rsidR="005537F2" w:rsidRPr="00E30019">
        <w:rPr>
          <w:bCs/>
        </w:rPr>
        <w:t>. Unspent funds for promised projects cannot be moved to other promised projects.</w:t>
      </w:r>
    </w:p>
    <w:p w:rsidR="005537F2" w:rsidRPr="00E30019" w:rsidRDefault="005537F2">
      <w:pPr>
        <w:pStyle w:val="RegBody"/>
      </w:pPr>
      <w:r w:rsidRPr="00E30019">
        <w:t>Claims for promised projects (that were sent to the Regional Office by September 30 of year 5) are manually tracked by the NHTSA Regional Program Manager using an internal tracking system – not GTS or GMSS.</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5"/>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 xml:space="preserve">shall be responsible for periodically examining the current liquidation of each funding source by year, looking back at least </w:t>
      </w:r>
      <w:r w:rsidR="00A86305">
        <w:t xml:space="preserve">three </w:t>
      </w:r>
      <w:r>
        <w:t>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6"/>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7"/>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8"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on or after October 1, 2010</w:t>
      </w:r>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9"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70"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787A56">
      <w:pPr>
        <w:numPr>
          <w:ilvl w:val="0"/>
          <w:numId w:val="15"/>
        </w:numPr>
        <w:spacing w:before="24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71" w:history="1">
        <w:r w:rsidR="00787A56" w:rsidRPr="00CA212E">
          <w:rPr>
            <w:rStyle w:val="Hyperlink"/>
            <w:rFonts w:ascii="Tahoma" w:eastAsia="Times New Roman" w:hAnsi="Tahoma" w:cs="Tahoma"/>
            <w:sz w:val="20"/>
            <w:szCs w:val="20"/>
          </w:rPr>
          <w:t>https://www.sam.gov/SAM/</w:t>
        </w:r>
      </w:hyperlink>
      <w:r w:rsidRPr="006A563B">
        <w:rPr>
          <w:rFonts w:ascii="Tahoma" w:eastAsia="Times New Roman" w:hAnsi="Tahoma" w:cs="Tahoma"/>
          <w:sz w:val="20"/>
          <w:szCs w:val="20"/>
        </w:rPr>
        <w:t>;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w:t>
      </w:r>
      <w:r w:rsidR="006A43E9" w:rsidRPr="006A563B">
        <w:rPr>
          <w:rFonts w:ascii="Tahoma" w:eastAsia="Times New Roman" w:hAnsi="Tahoma" w:cs="Tahoma"/>
          <w:sz w:val="20"/>
          <w:szCs w:val="20"/>
        </w:rPr>
        <w:t>prepopulate</w:t>
      </w:r>
      <w:r w:rsidRPr="006A563B">
        <w:rPr>
          <w:rFonts w:ascii="Tahoma" w:eastAsia="Times New Roman" w:hAnsi="Tahoma" w:cs="Tahoma"/>
          <w:sz w:val="20"/>
          <w:szCs w:val="20"/>
        </w:rPr>
        <w:t xml:space="preserv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72"/>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3"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4"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5"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6" w:history="1"/>
      <w:hyperlink r:id="rId77"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8"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6C" w:rsidRDefault="0084556C">
      <w:r>
        <w:separator/>
      </w:r>
    </w:p>
  </w:endnote>
  <w:endnote w:type="continuationSeparator" w:id="0">
    <w:p w:rsidR="0084556C" w:rsidRDefault="0084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AkzidenzGroteskBE-BoldIt">
    <w:altName w:val="Calibri"/>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E30019">
      <w:tc>
        <w:tcPr>
          <w:tcW w:w="4440" w:type="dxa"/>
        </w:tcPr>
        <w:p w:rsidR="00E30019" w:rsidRPr="004E05BB" w:rsidRDefault="00E30019">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E30019" w:rsidRPr="004E05BB" w:rsidRDefault="00E30019">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E30019" w:rsidRPr="004E05BB" w:rsidRDefault="00E30019" w:rsidP="0069687D">
          <w:pPr>
            <w:pStyle w:val="Footer"/>
            <w:jc w:val="right"/>
            <w:rPr>
              <w:rFonts w:ascii="Tahoma" w:hAnsi="Tahoma" w:cs="Tahoma"/>
              <w:sz w:val="20"/>
              <w:szCs w:val="20"/>
            </w:rPr>
          </w:pPr>
          <w:r>
            <w:rPr>
              <w:rFonts w:ascii="Tahoma" w:hAnsi="Tahoma" w:cs="Tahoma"/>
              <w:sz w:val="20"/>
              <w:szCs w:val="20"/>
            </w:rPr>
            <w:t>5-2020 UPDATE</w:t>
          </w:r>
        </w:p>
      </w:tc>
    </w:tr>
  </w:tbl>
  <w:p w:rsidR="00E30019" w:rsidRDefault="00E3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E30019" w:rsidRPr="004E05BB">
      <w:tc>
        <w:tcPr>
          <w:tcW w:w="2952" w:type="dxa"/>
        </w:tcPr>
        <w:p w:rsidR="00E30019" w:rsidRPr="004E05BB" w:rsidRDefault="00E30019">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E30019" w:rsidRPr="004E05BB" w:rsidRDefault="00E30019">
          <w:pPr>
            <w:pStyle w:val="Footer"/>
            <w:rPr>
              <w:rFonts w:ascii="Tahoma" w:hAnsi="Tahoma" w:cs="Tahoma"/>
              <w:sz w:val="20"/>
              <w:szCs w:val="20"/>
            </w:rPr>
          </w:pPr>
        </w:p>
      </w:tc>
      <w:tc>
        <w:tcPr>
          <w:tcW w:w="3666" w:type="dxa"/>
        </w:tcPr>
        <w:p w:rsidR="00E30019" w:rsidRPr="004E05BB" w:rsidRDefault="00E30019" w:rsidP="0069687D">
          <w:pPr>
            <w:pStyle w:val="Footer"/>
            <w:jc w:val="right"/>
            <w:rPr>
              <w:rFonts w:ascii="Tahoma" w:hAnsi="Tahoma" w:cs="Tahoma"/>
              <w:sz w:val="20"/>
              <w:szCs w:val="20"/>
            </w:rPr>
          </w:pPr>
          <w:r>
            <w:rPr>
              <w:rFonts w:ascii="Tahoma" w:hAnsi="Tahoma" w:cs="Tahoma"/>
              <w:sz w:val="20"/>
              <w:szCs w:val="20"/>
            </w:rPr>
            <w:t>5-2020 UPDATE</w:t>
          </w:r>
        </w:p>
      </w:tc>
    </w:tr>
  </w:tbl>
  <w:p w:rsidR="00E30019" w:rsidRPr="00ED2F29" w:rsidRDefault="00E30019">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6C" w:rsidRDefault="0084556C">
      <w:r>
        <w:separator/>
      </w:r>
    </w:p>
  </w:footnote>
  <w:footnote w:type="continuationSeparator" w:id="0">
    <w:p w:rsidR="0084556C" w:rsidRDefault="0084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E30019" w:rsidRPr="004E05BB" w:rsidRDefault="00E30019">
          <w:pPr>
            <w:pStyle w:val="Header"/>
            <w:jc w:val="right"/>
            <w:rPr>
              <w:rFonts w:ascii="Tahoma" w:hAnsi="Tahoma" w:cs="Tahoma"/>
              <w:sz w:val="20"/>
              <w:szCs w:val="20"/>
            </w:rPr>
          </w:pPr>
        </w:p>
      </w:tc>
    </w:tr>
  </w:tbl>
  <w:p w:rsidR="00E30019" w:rsidRDefault="00E300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E30019" w:rsidRDefault="00E300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E30019" w:rsidRPr="0076486A" w:rsidRDefault="00E30019">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rsidR="00E30019" w:rsidRDefault="00E30019">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E30019" w:rsidRDefault="00E30019">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E30019" w:rsidRPr="00D94BCD" w:rsidRDefault="00E30019">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E30019" w:rsidRPr="00D94BCD" w:rsidRDefault="00E30019">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E30019" w:rsidRPr="00D94BCD" w:rsidRDefault="00E30019">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E30019" w:rsidRPr="00D94BCD" w:rsidRDefault="00E30019">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E30019" w:rsidRPr="00D94BCD" w:rsidRDefault="00E30019">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E30019" w:rsidRPr="00D94BCD" w:rsidRDefault="00E30019">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E30019" w:rsidRPr="004E05BB" w:rsidRDefault="00E30019">
          <w:pPr>
            <w:pStyle w:val="Header"/>
            <w:jc w:val="right"/>
            <w:rPr>
              <w:rFonts w:ascii="Tahoma" w:hAnsi="Tahoma" w:cs="Tahoma"/>
              <w:sz w:val="20"/>
              <w:szCs w:val="20"/>
            </w:rPr>
          </w:pPr>
          <w:r>
            <w:rPr>
              <w:rFonts w:ascii="Tahoma" w:hAnsi="Tahoma" w:cs="Tahoma"/>
              <w:sz w:val="20"/>
              <w:szCs w:val="20"/>
            </w:rPr>
            <w:t>Section A. Overview and Eligible Fund Uses</w:t>
          </w:r>
        </w:p>
      </w:tc>
    </w:tr>
  </w:tbl>
  <w:p w:rsidR="00E30019" w:rsidRDefault="00E3001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E30019" w:rsidRPr="004E05BB" w:rsidRDefault="00E30019">
          <w:pPr>
            <w:pStyle w:val="Header"/>
            <w:jc w:val="right"/>
            <w:rPr>
              <w:rFonts w:ascii="Tahoma" w:hAnsi="Tahoma" w:cs="Tahoma"/>
              <w:sz w:val="20"/>
              <w:szCs w:val="20"/>
            </w:rPr>
          </w:pPr>
        </w:p>
      </w:tc>
    </w:tr>
  </w:tbl>
  <w:p w:rsidR="00E30019" w:rsidRPr="00084665" w:rsidRDefault="00E3001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E30019" w:rsidRPr="004E05BB" w:rsidRDefault="00E30019">
          <w:pPr>
            <w:pStyle w:val="Header"/>
            <w:jc w:val="right"/>
            <w:rPr>
              <w:rFonts w:ascii="Tahoma" w:hAnsi="Tahoma" w:cs="Tahoma"/>
              <w:sz w:val="20"/>
              <w:szCs w:val="20"/>
            </w:rPr>
          </w:pPr>
        </w:p>
      </w:tc>
    </w:tr>
  </w:tbl>
  <w:p w:rsidR="00E30019" w:rsidRPr="00084665" w:rsidRDefault="00E3001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E30019" w:rsidRPr="00084665" w:rsidRDefault="00E3001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E30019" w:rsidRPr="00084665" w:rsidRDefault="00E3001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4E05BB" w:rsidRDefault="00E30019"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E30019" w:rsidRPr="00084665" w:rsidRDefault="00E3001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E30019" w:rsidRPr="004E05BB" w:rsidRDefault="00E30019">
          <w:pPr>
            <w:pStyle w:val="Header"/>
            <w:jc w:val="right"/>
            <w:rPr>
              <w:rFonts w:ascii="Tahoma" w:hAnsi="Tahoma" w:cs="Tahoma"/>
              <w:sz w:val="20"/>
              <w:szCs w:val="20"/>
            </w:rPr>
          </w:pPr>
        </w:p>
      </w:tc>
    </w:tr>
  </w:tbl>
  <w:p w:rsidR="00E30019" w:rsidRPr="00084665" w:rsidRDefault="00E3001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950CE5" w:rsidRDefault="00E30019"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E30019" w:rsidRPr="00084665" w:rsidRDefault="00E3001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E30019">
      <w:tc>
        <w:tcPr>
          <w:tcW w:w="442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E30019" w:rsidRPr="00950CE5" w:rsidRDefault="00E30019"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E30019" w:rsidRPr="00084665" w:rsidRDefault="00E30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rsidRPr="004E05BB">
      <w:tc>
        <w:tcPr>
          <w:tcW w:w="4788" w:type="dxa"/>
        </w:tcPr>
        <w:p w:rsidR="00E30019" w:rsidRPr="004E05BB" w:rsidRDefault="00E30019">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E30019" w:rsidRPr="004E05BB" w:rsidRDefault="00E30019">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E30019" w:rsidRDefault="00E30019">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E30019">
      <w:tc>
        <w:tcPr>
          <w:tcW w:w="4788" w:type="dxa"/>
        </w:tcPr>
        <w:p w:rsidR="00E30019" w:rsidRPr="004E05BB" w:rsidRDefault="00E30019">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E30019" w:rsidRPr="004E05BB" w:rsidRDefault="00E30019"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E30019" w:rsidRDefault="00E300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019" w:rsidRDefault="00E3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4799"/>
    <w:multiLevelType w:val="hybridMultilevel"/>
    <w:tmpl w:val="6766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0"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5"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0"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2"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4"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7"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8"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4342D"/>
    <w:multiLevelType w:val="hybridMultilevel"/>
    <w:tmpl w:val="737E2C0A"/>
    <w:lvl w:ilvl="0" w:tplc="CC34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9"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40"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
  </w:num>
  <w:num w:numId="3">
    <w:abstractNumId w:val="22"/>
  </w:num>
  <w:num w:numId="4">
    <w:abstractNumId w:val="17"/>
  </w:num>
  <w:num w:numId="5">
    <w:abstractNumId w:val="28"/>
  </w:num>
  <w:num w:numId="6">
    <w:abstractNumId w:val="12"/>
  </w:num>
  <w:num w:numId="7">
    <w:abstractNumId w:val="24"/>
  </w:num>
  <w:num w:numId="8">
    <w:abstractNumId w:val="20"/>
  </w:num>
  <w:num w:numId="9">
    <w:abstractNumId w:val="36"/>
  </w:num>
  <w:num w:numId="10">
    <w:abstractNumId w:val="3"/>
  </w:num>
  <w:num w:numId="11">
    <w:abstractNumId w:val="32"/>
  </w:num>
  <w:num w:numId="12">
    <w:abstractNumId w:val="4"/>
  </w:num>
  <w:num w:numId="13">
    <w:abstractNumId w:val="40"/>
  </w:num>
  <w:num w:numId="14">
    <w:abstractNumId w:val="23"/>
  </w:num>
  <w:num w:numId="15">
    <w:abstractNumId w:val="25"/>
  </w:num>
  <w:num w:numId="16">
    <w:abstractNumId w:val="14"/>
  </w:num>
  <w:num w:numId="17">
    <w:abstractNumId w:val="6"/>
  </w:num>
  <w:num w:numId="18">
    <w:abstractNumId w:val="19"/>
  </w:num>
  <w:num w:numId="19">
    <w:abstractNumId w:val="9"/>
  </w:num>
  <w:num w:numId="20">
    <w:abstractNumId w:val="11"/>
  </w:num>
  <w:num w:numId="21">
    <w:abstractNumId w:val="21"/>
  </w:num>
  <w:num w:numId="22">
    <w:abstractNumId w:val="7"/>
  </w:num>
  <w:num w:numId="23">
    <w:abstractNumId w:val="34"/>
  </w:num>
  <w:num w:numId="24">
    <w:abstractNumId w:val="26"/>
  </w:num>
  <w:num w:numId="25">
    <w:abstractNumId w:val="38"/>
  </w:num>
  <w:num w:numId="26">
    <w:abstractNumId w:val="37"/>
  </w:num>
  <w:num w:numId="27">
    <w:abstractNumId w:val="13"/>
  </w:num>
  <w:num w:numId="28">
    <w:abstractNumId w:val="18"/>
  </w:num>
  <w:num w:numId="29">
    <w:abstractNumId w:val="8"/>
  </w:num>
  <w:num w:numId="30">
    <w:abstractNumId w:val="33"/>
  </w:num>
  <w:num w:numId="31">
    <w:abstractNumId w:val="29"/>
  </w:num>
  <w:num w:numId="32">
    <w:abstractNumId w:val="16"/>
  </w:num>
  <w:num w:numId="33">
    <w:abstractNumId w:val="0"/>
  </w:num>
  <w:num w:numId="34">
    <w:abstractNumId w:val="35"/>
  </w:num>
  <w:num w:numId="35">
    <w:abstractNumId w:val="30"/>
  </w:num>
  <w:num w:numId="36">
    <w:abstractNumId w:val="10"/>
  </w:num>
  <w:num w:numId="37">
    <w:abstractNumId w:val="39"/>
  </w:num>
  <w:num w:numId="38">
    <w:abstractNumId w:val="5"/>
  </w:num>
  <w:num w:numId="39">
    <w:abstractNumId w:val="15"/>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2BC1"/>
    <w:rsid w:val="000C488C"/>
    <w:rsid w:val="000C5328"/>
    <w:rsid w:val="000D07FB"/>
    <w:rsid w:val="000D199E"/>
    <w:rsid w:val="000D28E7"/>
    <w:rsid w:val="000E1C45"/>
    <w:rsid w:val="000E308D"/>
    <w:rsid w:val="000E71EE"/>
    <w:rsid w:val="000E7B08"/>
    <w:rsid w:val="000F202C"/>
    <w:rsid w:val="000F774B"/>
    <w:rsid w:val="001047FC"/>
    <w:rsid w:val="00114653"/>
    <w:rsid w:val="00115474"/>
    <w:rsid w:val="00120AE4"/>
    <w:rsid w:val="0012316C"/>
    <w:rsid w:val="001375CA"/>
    <w:rsid w:val="0014552E"/>
    <w:rsid w:val="00145A09"/>
    <w:rsid w:val="00145D58"/>
    <w:rsid w:val="00146FC1"/>
    <w:rsid w:val="001510DF"/>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200F6"/>
    <w:rsid w:val="00223FB5"/>
    <w:rsid w:val="002252A6"/>
    <w:rsid w:val="002326A4"/>
    <w:rsid w:val="00234F3A"/>
    <w:rsid w:val="00245412"/>
    <w:rsid w:val="002623E1"/>
    <w:rsid w:val="00264467"/>
    <w:rsid w:val="00270BE1"/>
    <w:rsid w:val="00284E80"/>
    <w:rsid w:val="002861F3"/>
    <w:rsid w:val="00290C35"/>
    <w:rsid w:val="002A0F36"/>
    <w:rsid w:val="002A6B95"/>
    <w:rsid w:val="002B2709"/>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1676B"/>
    <w:rsid w:val="00425C86"/>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96832"/>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37F2"/>
    <w:rsid w:val="00557035"/>
    <w:rsid w:val="005659D8"/>
    <w:rsid w:val="005668C0"/>
    <w:rsid w:val="0057024F"/>
    <w:rsid w:val="005719B8"/>
    <w:rsid w:val="005721FB"/>
    <w:rsid w:val="00574415"/>
    <w:rsid w:val="005770B5"/>
    <w:rsid w:val="005824B0"/>
    <w:rsid w:val="005828C5"/>
    <w:rsid w:val="005927A0"/>
    <w:rsid w:val="005B2F26"/>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44FFA"/>
    <w:rsid w:val="00645383"/>
    <w:rsid w:val="006457B7"/>
    <w:rsid w:val="00646160"/>
    <w:rsid w:val="006475D1"/>
    <w:rsid w:val="00660154"/>
    <w:rsid w:val="00660DC3"/>
    <w:rsid w:val="00661881"/>
    <w:rsid w:val="006619F0"/>
    <w:rsid w:val="006632F5"/>
    <w:rsid w:val="0066799B"/>
    <w:rsid w:val="00667ADD"/>
    <w:rsid w:val="00673F6A"/>
    <w:rsid w:val="006943C0"/>
    <w:rsid w:val="00694682"/>
    <w:rsid w:val="00694FF0"/>
    <w:rsid w:val="0069687D"/>
    <w:rsid w:val="0069757C"/>
    <w:rsid w:val="006A10B3"/>
    <w:rsid w:val="006A43E9"/>
    <w:rsid w:val="006A563B"/>
    <w:rsid w:val="006C47EE"/>
    <w:rsid w:val="006C7779"/>
    <w:rsid w:val="006D0587"/>
    <w:rsid w:val="006D4122"/>
    <w:rsid w:val="006D4DE4"/>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6647"/>
    <w:rsid w:val="007D1674"/>
    <w:rsid w:val="007E1233"/>
    <w:rsid w:val="007E6764"/>
    <w:rsid w:val="007F2B4C"/>
    <w:rsid w:val="00800627"/>
    <w:rsid w:val="00801572"/>
    <w:rsid w:val="00805590"/>
    <w:rsid w:val="008126B4"/>
    <w:rsid w:val="00813B3D"/>
    <w:rsid w:val="008361B1"/>
    <w:rsid w:val="008447E5"/>
    <w:rsid w:val="0084556C"/>
    <w:rsid w:val="00863A01"/>
    <w:rsid w:val="00887ED9"/>
    <w:rsid w:val="00894945"/>
    <w:rsid w:val="00896D71"/>
    <w:rsid w:val="008A23B1"/>
    <w:rsid w:val="008A68FA"/>
    <w:rsid w:val="008B1FED"/>
    <w:rsid w:val="008B49EB"/>
    <w:rsid w:val="008B6851"/>
    <w:rsid w:val="008B69BC"/>
    <w:rsid w:val="008B77DE"/>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1938"/>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430A4"/>
    <w:rsid w:val="00A55F47"/>
    <w:rsid w:val="00A57A93"/>
    <w:rsid w:val="00A75C1F"/>
    <w:rsid w:val="00A77740"/>
    <w:rsid w:val="00A86118"/>
    <w:rsid w:val="00A86305"/>
    <w:rsid w:val="00A93535"/>
    <w:rsid w:val="00A966D5"/>
    <w:rsid w:val="00A96FB8"/>
    <w:rsid w:val="00AA0A3C"/>
    <w:rsid w:val="00AA1807"/>
    <w:rsid w:val="00AA57C4"/>
    <w:rsid w:val="00AB421E"/>
    <w:rsid w:val="00AB598A"/>
    <w:rsid w:val="00AB5D35"/>
    <w:rsid w:val="00AD2D49"/>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66404"/>
    <w:rsid w:val="00C81AA0"/>
    <w:rsid w:val="00C8469B"/>
    <w:rsid w:val="00C93385"/>
    <w:rsid w:val="00C96458"/>
    <w:rsid w:val="00CA24B9"/>
    <w:rsid w:val="00CA281E"/>
    <w:rsid w:val="00CA4A36"/>
    <w:rsid w:val="00CA74A6"/>
    <w:rsid w:val="00CB240D"/>
    <w:rsid w:val="00CB2444"/>
    <w:rsid w:val="00CC0329"/>
    <w:rsid w:val="00CC3AF5"/>
    <w:rsid w:val="00CC7789"/>
    <w:rsid w:val="00CD6FD7"/>
    <w:rsid w:val="00CE217F"/>
    <w:rsid w:val="00CE23A7"/>
    <w:rsid w:val="00CE36DE"/>
    <w:rsid w:val="00CE440C"/>
    <w:rsid w:val="00CE5704"/>
    <w:rsid w:val="00CE7563"/>
    <w:rsid w:val="00CF1A94"/>
    <w:rsid w:val="00D0337F"/>
    <w:rsid w:val="00D0611F"/>
    <w:rsid w:val="00D067EB"/>
    <w:rsid w:val="00D2098E"/>
    <w:rsid w:val="00D24164"/>
    <w:rsid w:val="00D24A23"/>
    <w:rsid w:val="00D27CE4"/>
    <w:rsid w:val="00D30133"/>
    <w:rsid w:val="00D31B76"/>
    <w:rsid w:val="00D453C5"/>
    <w:rsid w:val="00D51D6B"/>
    <w:rsid w:val="00D539CB"/>
    <w:rsid w:val="00D53DEF"/>
    <w:rsid w:val="00D56291"/>
    <w:rsid w:val="00D60459"/>
    <w:rsid w:val="00D62D32"/>
    <w:rsid w:val="00D665B5"/>
    <w:rsid w:val="00D71937"/>
    <w:rsid w:val="00D94BCD"/>
    <w:rsid w:val="00D94DC6"/>
    <w:rsid w:val="00D94E83"/>
    <w:rsid w:val="00D97B31"/>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07928"/>
    <w:rsid w:val="00E1275E"/>
    <w:rsid w:val="00E156D4"/>
    <w:rsid w:val="00E20723"/>
    <w:rsid w:val="00E30019"/>
    <w:rsid w:val="00E36B32"/>
    <w:rsid w:val="00E37A66"/>
    <w:rsid w:val="00E41DA5"/>
    <w:rsid w:val="00E420FA"/>
    <w:rsid w:val="00E509DA"/>
    <w:rsid w:val="00E66A99"/>
    <w:rsid w:val="00E713E9"/>
    <w:rsid w:val="00E72256"/>
    <w:rsid w:val="00E73A53"/>
    <w:rsid w:val="00E82B28"/>
    <w:rsid w:val="00E82C6D"/>
    <w:rsid w:val="00E85AEE"/>
    <w:rsid w:val="00E92433"/>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02B1"/>
    <w:rsid w:val="00F21B16"/>
    <w:rsid w:val="00F22D45"/>
    <w:rsid w:val="00F23FA2"/>
    <w:rsid w:val="00F30A02"/>
    <w:rsid w:val="00F324D9"/>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E6B49"/>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4852">
      <w:bodyDiv w:val="1"/>
      <w:marLeft w:val="0"/>
      <w:marRight w:val="0"/>
      <w:marTop w:val="0"/>
      <w:marBottom w:val="0"/>
      <w:divBdr>
        <w:top w:val="none" w:sz="0" w:space="0" w:color="auto"/>
        <w:left w:val="none" w:sz="0" w:space="0" w:color="auto"/>
        <w:bottom w:val="none" w:sz="0" w:space="0" w:color="auto"/>
        <w:right w:val="none" w:sz="0" w:space="0" w:color="auto"/>
      </w:divBdr>
    </w:div>
    <w:div w:id="298146423">
      <w:bodyDiv w:val="1"/>
      <w:marLeft w:val="0"/>
      <w:marRight w:val="0"/>
      <w:marTop w:val="0"/>
      <w:marBottom w:val="0"/>
      <w:divBdr>
        <w:top w:val="none" w:sz="0" w:space="0" w:color="auto"/>
        <w:left w:val="none" w:sz="0" w:space="0" w:color="auto"/>
        <w:bottom w:val="none" w:sz="0" w:space="0" w:color="auto"/>
        <w:right w:val="none" w:sz="0" w:space="0" w:color="auto"/>
      </w:divBdr>
    </w:div>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www.ghsa.org/resources/shso-guidance" TargetMode="Externa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hyperlink" Target="http://www.ecfr.gov/cgi-bin/retrieveECFR?gp=&amp;SID=0f94deabfcc105ce7cdf811c8b6b7631&amp;mc=true&amp;n=pt2.1.200&amp;r=PART&amp;ty=HTML" TargetMode="External"/><Relationship Id="rId68" Type="http://schemas.openxmlformats.org/officeDocument/2006/relationships/hyperlink" Target="http://www.USAspending.gov" TargetMode="External"/><Relationship Id="rId16" Type="http://schemas.openxmlformats.org/officeDocument/2006/relationships/header" Target="header7.xml"/><Relationship Id="rId11" Type="http://schemas.openxmlformats.org/officeDocument/2006/relationships/footer" Target="footer2.xml"/><Relationship Id="rId32" Type="http://schemas.openxmlformats.org/officeDocument/2006/relationships/hyperlink" Target="https://www.nhtsa.gov/highway-safety-grants-program/resources-guide" TargetMode="External"/><Relationship Id="rId37" Type="http://schemas.openxmlformats.org/officeDocument/2006/relationships/hyperlink" Target="http://www.ghsa.org/resources/performance-measures" TargetMode="External"/><Relationship Id="rId53" Type="http://schemas.openxmlformats.org/officeDocument/2006/relationships/header" Target="header27.xml"/><Relationship Id="rId58" Type="http://schemas.openxmlformats.org/officeDocument/2006/relationships/hyperlink" Target="https://www.nhtsa.gov/highway-safety-grants-program/resources-guide" TargetMode="External"/><Relationship Id="rId74" Type="http://schemas.openxmlformats.org/officeDocument/2006/relationships/hyperlink" Target="http://www.ghsa.org/html/resources/files/pdf/mgmt/transp/101.pdf" TargetMode="External"/><Relationship Id="rId79"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31.xml"/><Relationship Id="rId19" Type="http://schemas.openxmlformats.org/officeDocument/2006/relationships/hyperlink" Target="http://www.ghsa.org/html/resources/planning/index.html"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cmfclearinghouse.org/resources_countermeasures.cfm" TargetMode="External"/><Relationship Id="rId35" Type="http://schemas.openxmlformats.org/officeDocument/2006/relationships/header" Target="header18.xml"/><Relationship Id="rId43" Type="http://schemas.openxmlformats.org/officeDocument/2006/relationships/hyperlink" Target="https://www.nhtsa.gov/sites/nhtsa.dot.gov/files/documents/nhtsa_moe_fast_act_guidance.pdf" TargetMode="External"/><Relationship Id="rId48" Type="http://schemas.openxmlformats.org/officeDocument/2006/relationships/header" Target="header23.xml"/><Relationship Id="rId56" Type="http://schemas.openxmlformats.org/officeDocument/2006/relationships/hyperlink" Target="http://www.nhtsa.dot.gov/nhtsa/whatsup/tea21/GrantMan/HTML/13_402StateMatchRequirements.html" TargetMode="External"/><Relationship Id="rId64" Type="http://schemas.openxmlformats.org/officeDocument/2006/relationships/header" Target="header32.xml"/><Relationship Id="rId69" Type="http://schemas.openxmlformats.org/officeDocument/2006/relationships/hyperlink" Target="http://www.fsrs.gov" TargetMode="External"/><Relationship Id="rId77" Type="http://schemas.openxmlformats.org/officeDocument/2006/relationships/hyperlink" Target="http://www.ghsa.org/html/resources/files/pdf/mgmt/transp/nhtsa.draft.transp.guidance.pdf" TargetMode="Externa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header" Target="header36.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yperlink" Target="http://www.ghsa.org/resources/performance-measures" TargetMode="External"/><Relationship Id="rId46" Type="http://schemas.openxmlformats.org/officeDocument/2006/relationships/header" Target="header21.xml"/><Relationship Id="rId59" Type="http://schemas.openxmlformats.org/officeDocument/2006/relationships/hyperlink" Target="https://www.nhtsa.gov/highway-safety-grants-program/resources-guide" TargetMode="External"/><Relationship Id="rId67" Type="http://schemas.openxmlformats.org/officeDocument/2006/relationships/header" Target="header35.xml"/><Relationship Id="rId20" Type="http://schemas.openxmlformats.org/officeDocument/2006/relationships/hyperlink" Target="http://www.ghsa.org/resources/shso-guidance" TargetMode="External"/><Relationship Id="rId41" Type="http://schemas.openxmlformats.org/officeDocument/2006/relationships/hyperlink" Target="https://www.nhtsa.gov/mmucc" TargetMode="External"/><Relationship Id="rId54" Type="http://schemas.openxmlformats.org/officeDocument/2006/relationships/header" Target="header28.xml"/><Relationship Id="rId62" Type="http://schemas.openxmlformats.org/officeDocument/2006/relationships/hyperlink" Target="http://www.ecfr.gov/cgi-bin/text-idx?SID=cf9d3110114282b21ac2ce0864c54667&amp;mc=true&amp;node=se2.1.200_1331&amp;rgn=div8" TargetMode="External"/><Relationship Id="rId70" Type="http://schemas.openxmlformats.org/officeDocument/2006/relationships/hyperlink" Target="http://fedgov.dnb.com/webform" TargetMode="External"/><Relationship Id="rId75" Type="http://schemas.openxmlformats.org/officeDocument/2006/relationships/hyperlink" Target="http://www.ghsa.org/html/resources/files/pdf/mgmt/transp/1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eader" Target="header24.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yperlink" Target="http://safety.transportation.org" TargetMode="External"/><Relationship Id="rId44" Type="http://schemas.openxmlformats.org/officeDocument/2006/relationships/hyperlink" Target="https://www.ghsa.org/resources/shso-guidance" TargetMode="External"/><Relationship Id="rId52" Type="http://schemas.openxmlformats.org/officeDocument/2006/relationships/header" Target="header26.xml"/><Relationship Id="rId60" Type="http://schemas.openxmlformats.org/officeDocument/2006/relationships/hyperlink" Target="http://www.ecfr.gov/cgi-bin/text-idx?SID=53e06ff69dcb6de8a22fa89277a33161&amp;mc=true&amp;node=pt2.1.200&amp;rgn=div5" TargetMode="External"/><Relationship Id="rId65" Type="http://schemas.openxmlformats.org/officeDocument/2006/relationships/header" Target="header33.xml"/><Relationship Id="rId73" Type="http://schemas.openxmlformats.org/officeDocument/2006/relationships/hyperlink" Target="http://www.ecfr.gov/cgi-bin/text-idx?SID=a9734d9ad44b4d0d2f7555da1ac55128&amp;mc=true&amp;node=se2.1.200_1331&amp;rgn=div8" TargetMode="External"/><Relationship Id="rId78" Type="http://schemas.openxmlformats.org/officeDocument/2006/relationships/hyperlink" Target="https://www.nhtsa.gov/highway-safety-grants-program/resources-guid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ghsa.org/html/files/resources/planning/Records.Perf.Msrs.pdf" TargetMode="External"/><Relationship Id="rId34" Type="http://schemas.openxmlformats.org/officeDocument/2006/relationships/header" Target="header17.xml"/><Relationship Id="rId50" Type="http://schemas.openxmlformats.org/officeDocument/2006/relationships/hyperlink" Target="https://www.ghsa.org/resources/partnering18" TargetMode="External"/><Relationship Id="rId55" Type="http://schemas.openxmlformats.org/officeDocument/2006/relationships/header" Target="header29.xml"/><Relationship Id="rId76" Type="http://schemas.openxmlformats.org/officeDocument/2006/relationships/hyperlink" Target="http://www.ghsa.org/html/members/states/tools/files/transp/nhtsa.draft.transp.guidance.pdf" TargetMode="External"/><Relationship Id="rId7" Type="http://schemas.openxmlformats.org/officeDocument/2006/relationships/endnotes" Target="endnotes.xml"/><Relationship Id="rId71" Type="http://schemas.openxmlformats.org/officeDocument/2006/relationships/hyperlink" Target="https://www.sam.gov/SAM/" TargetMode="External"/><Relationship Id="rId2" Type="http://schemas.openxmlformats.org/officeDocument/2006/relationships/numbering" Target="numbering.xml"/><Relationship Id="rId29" Type="http://schemas.openxmlformats.org/officeDocument/2006/relationships/hyperlink" Target="http://www.ghsa.org/resources/countermeasures2015" TargetMode="External"/><Relationship Id="rId24" Type="http://schemas.openxmlformats.org/officeDocument/2006/relationships/header" Target="header12.xml"/><Relationship Id="rId40" Type="http://schemas.openxmlformats.org/officeDocument/2006/relationships/hyperlink" Target="http://www.ghsa.org/resources/performance-measures" TargetMode="External"/><Relationship Id="rId45" Type="http://schemas.openxmlformats.org/officeDocument/2006/relationships/header" Target="header20.xml"/><Relationship Id="rId66"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364-44C7-184E-9850-611B44C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14200</Words>
  <Characters>80941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94952</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 Bolger</cp:lastModifiedBy>
  <cp:revision>8</cp:revision>
  <cp:lastPrinted>2018-11-05T18:09:00Z</cp:lastPrinted>
  <dcterms:created xsi:type="dcterms:W3CDTF">2020-05-07T20:02:00Z</dcterms:created>
  <dcterms:modified xsi:type="dcterms:W3CDTF">2020-05-08T17:14:00Z</dcterms:modified>
</cp:coreProperties>
</file>